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BB" w:rsidRPr="00332FBB" w:rsidRDefault="00332FBB" w:rsidP="00332FBB">
      <w:pPr>
        <w:spacing w:after="0" w:line="240" w:lineRule="auto"/>
        <w:jc w:val="center"/>
        <w:rPr>
          <w:rFonts w:ascii="Bookman Old Style" w:hAnsi="Bookman Old Style"/>
          <w:b/>
        </w:rPr>
      </w:pPr>
      <w:r w:rsidRPr="00332FBB">
        <w:rPr>
          <w:rFonts w:ascii="Bookman Old Style" w:hAnsi="Bookman Old Style"/>
          <w:b/>
        </w:rPr>
        <w:t>APÊNDICE DO ANEXO I - ETP</w:t>
      </w:r>
    </w:p>
    <w:p w:rsidR="00332FBB" w:rsidRPr="00B258FA" w:rsidRDefault="00332FBB" w:rsidP="00332FBB">
      <w:pPr>
        <w:spacing w:after="0" w:line="240" w:lineRule="auto"/>
        <w:rPr>
          <w:rFonts w:ascii="Bookman Old Style" w:hAnsi="Bookman Old Style"/>
        </w:rPr>
      </w:pPr>
    </w:p>
    <w:tbl>
      <w:tblPr>
        <w:tblStyle w:val="Tabelacomgrade2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32FBB" w:rsidRPr="00B258FA" w:rsidTr="00D93FF4">
        <w:tc>
          <w:tcPr>
            <w:tcW w:w="9572" w:type="dxa"/>
            <w:shd w:val="clear" w:color="auto" w:fill="F2F2F2" w:themeFill="background1" w:themeFillShade="F2"/>
          </w:tcPr>
          <w:p w:rsidR="00332FBB" w:rsidRPr="00B258FA" w:rsidRDefault="00332FBB" w:rsidP="00D93FF4">
            <w:pPr>
              <w:adjustRightInd w:val="0"/>
              <w:spacing w:after="0" w:line="240" w:lineRule="auto"/>
              <w:jc w:val="center"/>
              <w:rPr>
                <w:rFonts w:ascii="Bookman Old Style" w:hAnsi="Bookman Old Style" w:cs="Arial"/>
                <w:b/>
                <w:bCs/>
                <w:sz w:val="22"/>
                <w:szCs w:val="22"/>
              </w:rPr>
            </w:pPr>
            <w:r w:rsidRPr="00B258FA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>ESTUDO TÉCNICO PRELIMINAR SIMPLIFICADO</w:t>
            </w:r>
          </w:p>
        </w:tc>
      </w:tr>
    </w:tbl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</w:rPr>
      </w:pP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</w:rPr>
      </w:pPr>
      <w:r w:rsidRPr="00B258FA">
        <w:rPr>
          <w:rFonts w:ascii="Bookman Old Style" w:hAnsi="Bookman Old Style" w:cs="Arial"/>
          <w:b/>
          <w:bCs/>
        </w:rPr>
        <w:t>1. INTRODUÇÃO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  <w:b/>
          <w:bCs/>
        </w:rPr>
        <w:t xml:space="preserve">1.1. </w:t>
      </w:r>
      <w:r w:rsidRPr="00B258FA">
        <w:rPr>
          <w:rFonts w:ascii="Bookman Old Style" w:hAnsi="Bookman Old Style" w:cs="Arial"/>
        </w:rPr>
        <w:t>Trata-se de Estudo Técnico Preliminar para a primeira etapa do planejamento da contratação visando auxiliar na elaboração do Termo de Referência ou do Projeto Básico.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  <w:b/>
        </w:rPr>
        <w:t xml:space="preserve">1.2. </w:t>
      </w:r>
      <w:r w:rsidRPr="00B258FA">
        <w:rPr>
          <w:rFonts w:ascii="Bookman Old Style" w:hAnsi="Bookman Old Style" w:cs="Arial"/>
        </w:rPr>
        <w:t>Justifica-se ora a não inserção de todos os itens descritos no § 1º do art. 18 da Lei 14.133 de 2021, em razão da possibilidade de uso do modelo simplificado para o objeto estudado, sem prejuízo ao adequado planejamento e da inserção e itens outros itens que sejam necessários conforme o objeto estudado.</w:t>
      </w: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/>
          <w:bCs/>
        </w:rPr>
      </w:pP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/>
          <w:bCs/>
        </w:rPr>
      </w:pPr>
      <w:r w:rsidRPr="00B258FA">
        <w:rPr>
          <w:rFonts w:ascii="Bookman Old Style" w:hAnsi="Bookman Old Style" w:cs="Arial"/>
          <w:b/>
          <w:bCs/>
        </w:rPr>
        <w:t>2. INFORMAÇÕES DO PROCESSO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6476"/>
      </w:tblGrid>
      <w:tr w:rsidR="00332FBB" w:rsidRPr="00B258FA" w:rsidTr="00D93FF4">
        <w:tc>
          <w:tcPr>
            <w:tcW w:w="148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2FBB" w:rsidRPr="00B258FA" w:rsidRDefault="00332FBB" w:rsidP="00D93FF4">
            <w:pPr>
              <w:suppressAutoHyphens/>
              <w:spacing w:after="0" w:line="240" w:lineRule="auto"/>
              <w:ind w:left="57" w:right="57"/>
              <w:jc w:val="both"/>
              <w:textAlignment w:val="baseline"/>
              <w:rPr>
                <w:rFonts w:ascii="Bookman Old Style" w:eastAsia="SimSun" w:hAnsi="Bookman Old Style" w:cstheme="minorHAnsi"/>
                <w:bCs/>
                <w:kern w:val="3"/>
                <w:lang w:eastAsia="zh-CN" w:bidi="hi-IN"/>
              </w:rPr>
            </w:pPr>
            <w:r w:rsidRPr="00B258FA">
              <w:rPr>
                <w:rFonts w:ascii="Bookman Old Style" w:eastAsia="SimSun" w:hAnsi="Bookman Old Style" w:cstheme="minorHAnsi"/>
                <w:bCs/>
                <w:kern w:val="3"/>
                <w:lang w:eastAsia="zh-CN" w:bidi="hi-IN"/>
              </w:rPr>
              <w:t>Unidade (s) Demandante (s):</w:t>
            </w:r>
          </w:p>
        </w:tc>
        <w:tc>
          <w:tcPr>
            <w:tcW w:w="351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2FBB" w:rsidRPr="00B258FA" w:rsidRDefault="00332FBB" w:rsidP="00D93FF4">
            <w:pPr>
              <w:suppressAutoHyphens/>
              <w:autoSpaceDE w:val="0"/>
              <w:spacing w:after="0" w:line="240" w:lineRule="auto"/>
              <w:ind w:left="57" w:right="57"/>
              <w:jc w:val="both"/>
              <w:textAlignment w:val="baseline"/>
              <w:rPr>
                <w:rFonts w:ascii="Bookman Old Style" w:eastAsia="Times New Roman" w:hAnsi="Bookman Old Style" w:cstheme="minorHAnsi"/>
                <w:kern w:val="3"/>
                <w:lang w:eastAsia="zh-CN"/>
              </w:rPr>
            </w:pPr>
            <w:r w:rsidRPr="00B258FA">
              <w:rPr>
                <w:rFonts w:ascii="Bookman Old Style" w:eastAsia="Times New Roman" w:hAnsi="Bookman Old Style" w:cstheme="minorHAnsi"/>
                <w:kern w:val="3"/>
                <w:lang w:eastAsia="zh-CN"/>
              </w:rPr>
              <w:t>Secretaria Municipal de Obras, Atividades Urbanas e Estradas</w:t>
            </w:r>
          </w:p>
        </w:tc>
      </w:tr>
      <w:tr w:rsidR="00332FBB" w:rsidRPr="00B258FA" w:rsidTr="00D93FF4">
        <w:tc>
          <w:tcPr>
            <w:tcW w:w="148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2FBB" w:rsidRPr="00B258FA" w:rsidRDefault="00332FBB" w:rsidP="00D93FF4">
            <w:pPr>
              <w:suppressAutoHyphens/>
              <w:spacing w:after="0" w:line="240" w:lineRule="auto"/>
              <w:ind w:left="57" w:right="57"/>
              <w:jc w:val="both"/>
              <w:textAlignment w:val="baseline"/>
              <w:rPr>
                <w:rFonts w:ascii="Bookman Old Style" w:eastAsia="SimSun" w:hAnsi="Bookman Old Style" w:cstheme="minorHAnsi"/>
                <w:bCs/>
                <w:kern w:val="3"/>
                <w:lang w:eastAsia="zh-CN" w:bidi="hi-IN"/>
              </w:rPr>
            </w:pPr>
            <w:r w:rsidRPr="00B258FA">
              <w:rPr>
                <w:rFonts w:ascii="Bookman Old Style" w:eastAsia="SimSun" w:hAnsi="Bookman Old Style" w:cstheme="minorHAnsi"/>
                <w:bCs/>
                <w:kern w:val="3"/>
                <w:lang w:eastAsia="zh-CN" w:bidi="hi-IN"/>
              </w:rPr>
              <w:t>Responsável pela Demanda:</w:t>
            </w:r>
          </w:p>
        </w:tc>
        <w:tc>
          <w:tcPr>
            <w:tcW w:w="351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2FBB" w:rsidRPr="00B258FA" w:rsidRDefault="00332FBB" w:rsidP="00D93FF4">
            <w:pPr>
              <w:suppressAutoHyphens/>
              <w:autoSpaceDE w:val="0"/>
              <w:spacing w:after="0" w:line="240" w:lineRule="auto"/>
              <w:ind w:left="57" w:right="57"/>
              <w:jc w:val="both"/>
              <w:textAlignment w:val="baseline"/>
              <w:rPr>
                <w:rFonts w:ascii="Bookman Old Style" w:eastAsia="Times New Roman" w:hAnsi="Bookman Old Style" w:cstheme="minorHAnsi"/>
                <w:kern w:val="3"/>
                <w:lang w:eastAsia="zh-CN"/>
              </w:rPr>
            </w:pPr>
            <w:r w:rsidRPr="00B258FA">
              <w:rPr>
                <w:rFonts w:ascii="Bookman Old Style" w:eastAsia="Times New Roman" w:hAnsi="Bookman Old Style" w:cstheme="minorHAnsi"/>
                <w:kern w:val="3"/>
                <w:lang w:eastAsia="zh-CN"/>
              </w:rPr>
              <w:t>Adelson Paulo de Souza</w:t>
            </w:r>
          </w:p>
        </w:tc>
      </w:tr>
      <w:tr w:rsidR="00332FBB" w:rsidRPr="00B258FA" w:rsidTr="00D93FF4">
        <w:tc>
          <w:tcPr>
            <w:tcW w:w="1482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2FBB" w:rsidRPr="00B258FA" w:rsidRDefault="00332FBB" w:rsidP="00D93FF4">
            <w:pPr>
              <w:suppressAutoHyphens/>
              <w:spacing w:after="0" w:line="240" w:lineRule="auto"/>
              <w:ind w:left="57" w:right="57"/>
              <w:jc w:val="both"/>
              <w:textAlignment w:val="baseline"/>
              <w:rPr>
                <w:rFonts w:ascii="Bookman Old Style" w:eastAsia="SimSun" w:hAnsi="Bookman Old Style" w:cstheme="minorHAnsi"/>
                <w:kern w:val="3"/>
                <w:lang w:eastAsia="zh-CN" w:bidi="hi-IN"/>
              </w:rPr>
            </w:pPr>
            <w:r w:rsidRPr="00B258FA">
              <w:rPr>
                <w:rFonts w:ascii="Bookman Old Style" w:eastAsia="SimSun" w:hAnsi="Bookman Old Style" w:cstheme="minorHAnsi"/>
                <w:kern w:val="3"/>
                <w:lang w:eastAsia="zh-CN" w:bidi="hi-IN"/>
              </w:rPr>
              <w:t>Objeto:</w:t>
            </w:r>
          </w:p>
        </w:tc>
        <w:tc>
          <w:tcPr>
            <w:tcW w:w="351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32FBB" w:rsidRPr="00B258FA" w:rsidRDefault="00332FBB" w:rsidP="00D93FF4">
            <w:pPr>
              <w:snapToGrid w:val="0"/>
              <w:spacing w:after="0" w:line="240" w:lineRule="auto"/>
              <w:ind w:left="57" w:right="57"/>
              <w:jc w:val="both"/>
              <w:rPr>
                <w:rFonts w:ascii="Bookman Old Style" w:hAnsi="Bookman Old Style" w:cstheme="minorHAnsi"/>
              </w:rPr>
            </w:pPr>
            <w:r w:rsidRPr="00B258FA">
              <w:rPr>
                <w:rFonts w:ascii="Bookman Old Style" w:hAnsi="Bookman Old Style" w:cstheme="minorHAnsi"/>
              </w:rPr>
              <w:t>Aquisição de materiais elétricos para manutenção da iluminação pública municipal</w:t>
            </w:r>
          </w:p>
        </w:tc>
      </w:tr>
    </w:tbl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/>
          <w:bCs/>
        </w:rPr>
      </w:pP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/>
          <w:bCs/>
        </w:rPr>
      </w:pPr>
      <w:r w:rsidRPr="00B258FA">
        <w:rPr>
          <w:rFonts w:ascii="Bookman Old Style" w:hAnsi="Bookman Old Style" w:cs="Arial"/>
          <w:b/>
          <w:bCs/>
        </w:rPr>
        <w:t>3. DO RELATÓRIO</w:t>
      </w: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B258FA">
        <w:rPr>
          <w:rFonts w:ascii="Bookman Old Style" w:hAnsi="Bookman Old Style" w:cs="Arial"/>
          <w:b/>
        </w:rPr>
        <w:t>3.1. Do Regime Regente:</w:t>
      </w: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Cs/>
        </w:rPr>
      </w:pPr>
      <w:sdt>
        <w:sdtPr>
          <w:rPr>
            <w:rFonts w:ascii="Bookman Old Style" w:hAnsi="Bookman Old Style" w:cstheme="minorHAnsi"/>
            <w:bCs/>
          </w:rPr>
          <w:id w:val="-24888687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</w:t>
      </w:r>
      <w:r w:rsidRPr="00B258FA">
        <w:rPr>
          <w:rFonts w:ascii="Bookman Old Style" w:hAnsi="Bookman Old Style" w:cs="Arial"/>
          <w:bCs/>
        </w:rPr>
        <w:t>Lei 14.133/2021 e legislação correlata.</w:t>
      </w: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="Arial"/>
          <w:bCs/>
        </w:rPr>
      </w:pPr>
      <w:sdt>
        <w:sdtPr>
          <w:rPr>
            <w:rFonts w:ascii="Bookman Old Style" w:hAnsi="Bookman Old Style" w:cstheme="minorHAnsi"/>
            <w:bCs/>
          </w:rPr>
          <w:id w:val="1045573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Lei 8.666/1993 </w:t>
      </w:r>
      <w:r w:rsidRPr="00B258FA">
        <w:rPr>
          <w:rFonts w:ascii="Bookman Old Style" w:hAnsi="Bookman Old Style" w:cs="Arial"/>
          <w:bCs/>
        </w:rPr>
        <w:t>e legislação correlata.</w:t>
      </w:r>
    </w:p>
    <w:p w:rsidR="00332FBB" w:rsidRPr="00B258FA" w:rsidRDefault="00332FBB" w:rsidP="00332FBB">
      <w:pPr>
        <w:tabs>
          <w:tab w:val="left" w:pos="7371"/>
        </w:tabs>
        <w:spacing w:after="0" w:line="240" w:lineRule="auto"/>
        <w:rPr>
          <w:rFonts w:ascii="Bookman Old Style" w:hAnsi="Bookman Old Style" w:cstheme="minorHAnsi"/>
          <w:bCs/>
          <w:color w:val="000000"/>
        </w:rPr>
      </w:pPr>
      <w:r w:rsidRPr="00B258FA">
        <w:rPr>
          <w:rFonts w:ascii="Bookman Old Style" w:hAnsi="Bookman Old Style" w:cstheme="minorHAnsi"/>
          <w:b/>
          <w:color w:val="0D0D0D" w:themeColor="text1" w:themeTint="F2"/>
        </w:rPr>
        <w:t>3.2. Da legislação especial para contratação do objeto:</w:t>
      </w:r>
    </w:p>
    <w:p w:rsidR="00332FBB" w:rsidRPr="00B258FA" w:rsidRDefault="00332FBB" w:rsidP="00332FBB">
      <w:pPr>
        <w:spacing w:after="0" w:line="240" w:lineRule="auto"/>
        <w:rPr>
          <w:rFonts w:ascii="Bookman Old Style" w:hAnsi="Bookman Old Style" w:cstheme="minorHAnsi"/>
          <w:bCs/>
        </w:rPr>
      </w:pPr>
      <w:sdt>
        <w:sdtPr>
          <w:rPr>
            <w:rFonts w:ascii="Bookman Old Style" w:hAnsi="Bookman Old Style" w:cstheme="minorHAnsi"/>
            <w:bCs/>
          </w:rPr>
          <w:id w:val="-932422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A SD não indicou e esta equipe não localizou nos estudos, nenhum normativo específico referente ao objeto estudado.</w:t>
      </w:r>
    </w:p>
    <w:p w:rsidR="00332FBB" w:rsidRPr="00B258FA" w:rsidRDefault="00332FBB" w:rsidP="00332FBB">
      <w:pPr>
        <w:adjustRightInd w:val="0"/>
        <w:spacing w:after="0" w:line="240" w:lineRule="auto"/>
        <w:rPr>
          <w:rFonts w:ascii="Bookman Old Style" w:hAnsi="Bookman Old Style" w:cstheme="minorHAnsi"/>
          <w:bCs/>
        </w:rPr>
      </w:pPr>
      <w:sdt>
        <w:sdtPr>
          <w:rPr>
            <w:rFonts w:ascii="Bookman Old Style" w:hAnsi="Bookman Old Style" w:cstheme="minorHAnsi"/>
            <w:bCs/>
          </w:rPr>
          <w:id w:val="1023607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Foram localizados os seguintes normativos acerca do objeto estudado, e estes estão sendo considerados no presente estudo: _____________________________.</w:t>
      </w:r>
    </w:p>
    <w:p w:rsidR="00332FBB" w:rsidRPr="00B258FA" w:rsidRDefault="00332FBB" w:rsidP="00332FBB">
      <w:pPr>
        <w:spacing w:after="0" w:line="240" w:lineRule="auto"/>
        <w:rPr>
          <w:rFonts w:ascii="Bookman Old Style" w:eastAsiaTheme="minorEastAsia" w:hAnsi="Bookman Old Style" w:cstheme="minorHAnsi"/>
          <w:b/>
          <w:color w:val="0D0D0D" w:themeColor="text1" w:themeTint="F2"/>
        </w:rPr>
      </w:pPr>
      <w:r w:rsidRPr="00B258FA">
        <w:rPr>
          <w:rFonts w:ascii="Bookman Old Style" w:eastAsiaTheme="minorEastAsia" w:hAnsi="Bookman Old Style" w:cstheme="minorHAnsi"/>
          <w:b/>
          <w:color w:val="0D0D0D" w:themeColor="text1" w:themeTint="F2"/>
        </w:rPr>
        <w:t>3.2. Das contratações anteriores: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Cs/>
        </w:rPr>
      </w:pPr>
      <w:sdt>
        <w:sdtPr>
          <w:rPr>
            <w:rFonts w:ascii="Bookman Old Style" w:hAnsi="Bookman Old Style" w:cstheme="minorHAnsi"/>
            <w:bCs/>
          </w:rPr>
          <w:id w:val="-14921682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O objeto foi adquirido anteriormente através do Processo Administrativo nº Processo 054/2022, sem nenhuma observação pontual sobre a execução do contrato, servindo o quantitativo e o valor da contratação de subsídio para o presente estudo.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Cs/>
        </w:rPr>
      </w:pPr>
      <w:sdt>
        <w:sdtPr>
          <w:rPr>
            <w:rFonts w:ascii="Bookman Old Style" w:hAnsi="Bookman Old Style" w:cstheme="minorHAnsi"/>
            <w:bCs/>
          </w:rPr>
          <w:id w:val="-211333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O objeto foi adquirido anteriormente através do Processo Administrativo nº _______________, constando observações pontuais e recomendações da fiscalização sobre a execução do contrato, apontando parâmetros quantitativos e valores como forma de subsídio para o presente estudo, conforme abaixo: ______________</w:t>
      </w:r>
      <w:proofErr w:type="gramStart"/>
      <w:r w:rsidRPr="00B258FA">
        <w:rPr>
          <w:rFonts w:ascii="Bookman Old Style" w:hAnsi="Bookman Old Style" w:cstheme="minorHAnsi"/>
          <w:bCs/>
        </w:rPr>
        <w:t>_ .</w:t>
      </w:r>
      <w:proofErr w:type="gramEnd"/>
    </w:p>
    <w:p w:rsidR="00332FBB" w:rsidRPr="00B258FA" w:rsidRDefault="00332FBB" w:rsidP="00332FBB">
      <w:pPr>
        <w:tabs>
          <w:tab w:val="left" w:pos="7371"/>
        </w:tabs>
        <w:spacing w:after="0" w:line="240" w:lineRule="auto"/>
        <w:jc w:val="both"/>
        <w:rPr>
          <w:rFonts w:ascii="Bookman Old Style" w:hAnsi="Bookman Old Style" w:cstheme="minorHAnsi"/>
          <w:bCs/>
        </w:rPr>
      </w:pPr>
      <w:sdt>
        <w:sdtPr>
          <w:rPr>
            <w:rFonts w:ascii="Bookman Old Style" w:hAnsi="Bookman Old Style" w:cstheme="minorHAnsi"/>
            <w:bCs/>
          </w:rPr>
          <w:id w:val="751709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B258FA">
        <w:rPr>
          <w:rFonts w:ascii="Bookman Old Style" w:hAnsi="Bookman Old Style" w:cstheme="minorHAnsi"/>
          <w:bCs/>
        </w:rPr>
        <w:t xml:space="preserve"> O presente objeto não foi adquirido nos dois últimos exercícios, não constando em nossos arquivos contratação anterior para subsidiar no planejamento.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/>
          <w:b/>
          <w:bCs/>
        </w:rPr>
      </w:pPr>
      <w:r w:rsidRPr="00B258FA">
        <w:rPr>
          <w:rFonts w:ascii="Bookman Old Style" w:hAnsi="Bookman Old Style"/>
          <w:b/>
          <w:color w:val="000000"/>
        </w:rPr>
        <w:t xml:space="preserve">3.3 Da forma de </w:t>
      </w:r>
      <w:r w:rsidRPr="00B258FA">
        <w:rPr>
          <w:rFonts w:ascii="Bookman Old Style" w:hAnsi="Bookman Old Style"/>
          <w:b/>
        </w:rPr>
        <w:t>contratação: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/>
          <w:color w:val="000000"/>
        </w:rPr>
      </w:pPr>
      <w:sdt>
        <w:sdtPr>
          <w:rPr>
            <w:rFonts w:ascii="Bookman Old Style" w:hAnsi="Bookman Old Style"/>
            <w:color w:val="000000"/>
          </w:rPr>
          <w:id w:val="53364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B258FA">
        <w:rPr>
          <w:rFonts w:ascii="Bookman Old Style" w:hAnsi="Bookman Old Style"/>
          <w:color w:val="000000"/>
        </w:rPr>
        <w:t xml:space="preserve"> A contratação ser</w:t>
      </w:r>
      <w:r w:rsidRPr="00B258FA">
        <w:rPr>
          <w:rFonts w:ascii="Bookman Old Style" w:hAnsi="Bookman Old Style" w:cs="Bookman Old Style"/>
          <w:color w:val="000000"/>
        </w:rPr>
        <w:t>á</w:t>
      </w:r>
      <w:r w:rsidRPr="00B258FA">
        <w:rPr>
          <w:rFonts w:ascii="Bookman Old Style" w:hAnsi="Bookman Old Style"/>
          <w:color w:val="000000"/>
        </w:rPr>
        <w:t xml:space="preserve"> realizada de forma </w:t>
      </w:r>
      <w:r w:rsidRPr="00B258FA">
        <w:rPr>
          <w:rFonts w:ascii="Bookman Old Style" w:hAnsi="Bookman Old Style"/>
          <w:b/>
          <w:color w:val="000000"/>
        </w:rPr>
        <w:t>eletr</w:t>
      </w:r>
      <w:r w:rsidRPr="00B258FA">
        <w:rPr>
          <w:rFonts w:ascii="Bookman Old Style" w:hAnsi="Bookman Old Style" w:cs="Bookman Old Style"/>
          <w:b/>
          <w:color w:val="000000"/>
        </w:rPr>
        <w:t>ô</w:t>
      </w:r>
      <w:r w:rsidRPr="00B258FA">
        <w:rPr>
          <w:rFonts w:ascii="Bookman Old Style" w:hAnsi="Bookman Old Style"/>
          <w:b/>
          <w:color w:val="000000"/>
        </w:rPr>
        <w:t>nica</w:t>
      </w:r>
      <w:r w:rsidRPr="00B258FA">
        <w:rPr>
          <w:rFonts w:ascii="Bookman Old Style" w:hAnsi="Bookman Old Style"/>
          <w:color w:val="000000"/>
        </w:rPr>
        <w:t>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/>
          <w:color w:val="000000"/>
        </w:rPr>
      </w:pPr>
      <w:sdt>
        <w:sdtPr>
          <w:rPr>
            <w:rFonts w:ascii="Bookman Old Style" w:hAnsi="Bookman Old Style" w:cs="Segoe UI Symbol"/>
            <w:color w:val="000000"/>
          </w:rPr>
          <w:id w:val="179949498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00000"/>
            </w:rPr>
            <w:t>☒</w:t>
          </w:r>
        </w:sdtContent>
      </w:sdt>
      <w:r w:rsidRPr="00B258FA">
        <w:rPr>
          <w:rFonts w:ascii="Bookman Old Style" w:hAnsi="Bookman Old Style" w:cs="Segoe UI Symbol"/>
          <w:color w:val="000000"/>
        </w:rPr>
        <w:t xml:space="preserve"> </w:t>
      </w:r>
      <w:r w:rsidRPr="00B258FA">
        <w:rPr>
          <w:rFonts w:ascii="Bookman Old Style" w:hAnsi="Bookman Old Style"/>
          <w:color w:val="000000"/>
        </w:rPr>
        <w:t>A contratação ser</w:t>
      </w:r>
      <w:r w:rsidRPr="00B258FA">
        <w:rPr>
          <w:rFonts w:ascii="Bookman Old Style" w:hAnsi="Bookman Old Style" w:cs="Bookman Old Style"/>
          <w:color w:val="000000"/>
        </w:rPr>
        <w:t>á</w:t>
      </w:r>
      <w:r w:rsidRPr="00B258FA">
        <w:rPr>
          <w:rFonts w:ascii="Bookman Old Style" w:hAnsi="Bookman Old Style"/>
          <w:color w:val="000000"/>
        </w:rPr>
        <w:t xml:space="preserve"> realizada de forma </w:t>
      </w:r>
      <w:r w:rsidRPr="00B258FA">
        <w:rPr>
          <w:rFonts w:ascii="Bookman Old Style" w:hAnsi="Bookman Old Style"/>
          <w:b/>
          <w:color w:val="000000"/>
        </w:rPr>
        <w:t>presencial</w:t>
      </w:r>
      <w:r w:rsidRPr="00B258FA">
        <w:rPr>
          <w:rFonts w:ascii="Bookman Old Style" w:hAnsi="Bookman Old Style"/>
          <w:color w:val="000000"/>
        </w:rPr>
        <w:t xml:space="preserve">, conforme justificativas abaixo: 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/>
        </w:rPr>
      </w:pPr>
      <w:r w:rsidRPr="00B258FA">
        <w:rPr>
          <w:rFonts w:ascii="Bookman Old Style" w:hAnsi="Bookman Old Style"/>
        </w:rPr>
        <w:t xml:space="preserve">Justificamos a formalização da contratação pela forma presencial, considerando que, inobstante a preferência legal pela via eletrônica contida no § 2º do art.17, da Lei 14.133/21, a equipe de município encontra-se em preparação para a implantação do </w:t>
      </w:r>
      <w:r w:rsidRPr="00B258FA">
        <w:rPr>
          <w:rFonts w:ascii="Bookman Old Style" w:hAnsi="Bookman Old Style"/>
        </w:rPr>
        <w:lastRenderedPageBreak/>
        <w:t>processo piloto, que, conforme nosso programa de transição, carece de implementação a partir de testes, e os procedimentos para a implantação da nova lei de licitações está acarretando diversas alterações no fluxo processual, dificuldades técnicas e sistêmicas que, inobstante enfrentadas pelo município, nesse momento opta por adotar as prerrogativas da NLL, que, em seu artigo 176, II, possibilita a realização de licitação presencial sem a necessária gravação da respectiva sessão para municípios menores que 20.000 habitantes. Registramos que estamos nos preparando para a gravação da sessão nos termos exigidos para estruturas maiores, porém carecemos de tempo para as implementações pertinentes.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color w:val="000000"/>
          <w:lang w:eastAsia="pt-BR"/>
        </w:rPr>
      </w:pPr>
      <w:r w:rsidRPr="00B258FA">
        <w:rPr>
          <w:rFonts w:ascii="Bookman Old Style" w:hAnsi="Bookman Old Style" w:cs="Arial"/>
          <w:b/>
        </w:rPr>
        <w:t xml:space="preserve">3.4. </w:t>
      </w:r>
      <w:r w:rsidRPr="00B258FA">
        <w:rPr>
          <w:rFonts w:ascii="Bookman Old Style" w:eastAsia="Times New Roman" w:hAnsi="Bookman Old Style" w:cs="Times New Roman"/>
          <w:b/>
          <w:lang w:eastAsia="pt-BR"/>
        </w:rPr>
        <w:t>Do acesso</w:t>
      </w:r>
      <w:r w:rsidRPr="00B258FA">
        <w:rPr>
          <w:rFonts w:ascii="Bookman Old Style" w:eastAsia="Times New Roman" w:hAnsi="Bookman Old Style" w:cs="Times New Roman"/>
          <w:b/>
          <w:bCs/>
          <w:lang w:eastAsia="pt-BR"/>
        </w:rPr>
        <w:t xml:space="preserve"> </w:t>
      </w:r>
      <w:r w:rsidRPr="00B258FA">
        <w:rPr>
          <w:rFonts w:ascii="Bookman Old Style" w:eastAsia="Times New Roman" w:hAnsi="Bookman Old Style" w:cs="Times New Roman"/>
          <w:b/>
          <w:bCs/>
          <w:color w:val="000000"/>
          <w:lang w:eastAsia="pt-BR"/>
        </w:rPr>
        <w:t>ao orçamento estimado da contratação: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</w:rPr>
      </w:pPr>
      <w:proofErr w:type="gramStart"/>
      <w:r w:rsidRPr="00B258FA">
        <w:rPr>
          <w:rFonts w:ascii="Bookman Old Style" w:eastAsia="MS Gothic" w:hAnsi="Bookman Old Style" w:cs="MS Gothic"/>
          <w:color w:val="000000"/>
          <w:lang w:eastAsia="pt-BR"/>
        </w:rPr>
        <w:t>(</w:t>
      </w:r>
      <w:r w:rsidRPr="00B258FA">
        <w:rPr>
          <w:rFonts w:ascii="Bookman Old Style" w:eastAsia="MS Gothic" w:hAnsi="Bookman Old Style" w:cs="MS Gothic"/>
          <w:b/>
          <w:color w:val="000000"/>
          <w:lang w:eastAsia="pt-BR"/>
        </w:rPr>
        <w:t>X</w:t>
      </w:r>
      <w:r w:rsidRPr="00B258FA">
        <w:rPr>
          <w:rFonts w:ascii="Bookman Old Style" w:eastAsia="MS Gothic" w:hAnsi="Bookman Old Style" w:cs="MS Gothic"/>
          <w:color w:val="000000"/>
          <w:lang w:eastAsia="pt-BR"/>
        </w:rPr>
        <w:t>)</w:t>
      </w:r>
      <w:r w:rsidRPr="00B258FA">
        <w:rPr>
          <w:rFonts w:ascii="Bookman Old Style" w:eastAsia="Times New Roman" w:hAnsi="Bookman Old Style" w:cs="Times New Roman"/>
          <w:color w:val="000000"/>
          <w:lang w:eastAsia="pt-BR"/>
        </w:rPr>
        <w:t xml:space="preserve"> Na</w:t>
      </w:r>
      <w:proofErr w:type="gramEnd"/>
      <w:r w:rsidRPr="00B258FA">
        <w:rPr>
          <w:rFonts w:ascii="Bookman Old Style" w:eastAsia="Times New Roman" w:hAnsi="Bookman Old Style" w:cs="Times New Roman"/>
          <w:color w:val="000000"/>
          <w:lang w:eastAsia="pt-BR"/>
        </w:rPr>
        <w:t xml:space="preserve"> presente análise </w:t>
      </w:r>
      <w:r w:rsidRPr="00B258FA">
        <w:rPr>
          <w:rFonts w:ascii="Bookman Old Style" w:hAnsi="Bookman Old Style" w:cstheme="minorHAnsi"/>
        </w:rPr>
        <w:t>o orçamento e documentos que o instruem constam dos autos e deverão ser disponibilizados anexos ao TR ou PB, não sendo o caso de orçamento sigiloso.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="Times New Roman" w:hAnsi="Bookman Old Style" w:cstheme="minorHAnsi"/>
          <w:color w:val="0D0D0D" w:themeColor="text1" w:themeTint="F2"/>
        </w:rPr>
      </w:pPr>
      <w:sdt>
        <w:sdtPr>
          <w:rPr>
            <w:rFonts w:ascii="Bookman Old Style" w:eastAsia="Times New Roman" w:hAnsi="Bookman Old Style" w:cstheme="minorHAnsi"/>
            <w:color w:val="0D0D0D" w:themeColor="text1" w:themeTint="F2"/>
          </w:rPr>
          <w:id w:val="1533620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D0D0D" w:themeColor="text1" w:themeTint="F2"/>
            </w:rPr>
            <w:t>☐</w:t>
          </w:r>
        </w:sdtContent>
      </w:sdt>
      <w:r w:rsidRPr="00B258FA">
        <w:rPr>
          <w:rFonts w:ascii="Bookman Old Style" w:eastAsia="Times New Roman" w:hAnsi="Bookman Old Style" w:cstheme="minorHAnsi"/>
          <w:color w:val="0D0D0D" w:themeColor="text1" w:themeTint="F2"/>
        </w:rPr>
        <w:t xml:space="preserve"> Na presente análise </w:t>
      </w:r>
      <w:r w:rsidRPr="00B258FA">
        <w:rPr>
          <w:rFonts w:ascii="Bookman Old Style" w:eastAsia="Times New Roman" w:hAnsi="Bookman Old Style" w:cstheme="minorHAnsi"/>
          <w:b/>
          <w:color w:val="0D0D0D" w:themeColor="text1" w:themeTint="F2"/>
        </w:rPr>
        <w:t>foi identificada a necessidade do orçamento estimado sigiloso</w:t>
      </w:r>
      <w:r w:rsidRPr="00B258FA">
        <w:rPr>
          <w:rFonts w:ascii="Bookman Old Style" w:eastAsia="Times New Roman" w:hAnsi="Bookman Old Style" w:cstheme="minorHAnsi"/>
          <w:color w:val="0D0D0D" w:themeColor="text1" w:themeTint="F2"/>
        </w:rPr>
        <w:t xml:space="preserve"> </w:t>
      </w:r>
      <w:r w:rsidRPr="00B258FA">
        <w:rPr>
          <w:rFonts w:ascii="Bookman Old Style" w:eastAsia="Times New Roman" w:hAnsi="Bookman Old Style" w:cstheme="minorHAnsi"/>
          <w:i/>
          <w:iCs/>
          <w:color w:val="0D0D0D" w:themeColor="text1" w:themeTint="F2"/>
        </w:rPr>
        <w:t>(publicidade do orçamento após a fase de lances, no julgamento da proposta)</w:t>
      </w:r>
      <w:r w:rsidRPr="00B258FA">
        <w:rPr>
          <w:rFonts w:ascii="Bookman Old Style" w:eastAsia="Times New Roman" w:hAnsi="Bookman Old Style" w:cstheme="minorHAnsi"/>
          <w:color w:val="0D0D0D" w:themeColor="text1" w:themeTint="F2"/>
        </w:rPr>
        <w:t xml:space="preserve">, sem prejuízo da divulgação do detalhamento dos quantitativos e das demais informações necessárias para a elaboração das propostas, em conformidade com as justificativas a seguir: </w:t>
      </w:r>
    </w:p>
    <w:p w:rsidR="00332FBB" w:rsidRPr="00B258FA" w:rsidRDefault="00332FBB" w:rsidP="00332FBB">
      <w:pPr>
        <w:snapToGrid w:val="0"/>
        <w:spacing w:after="0" w:line="240" w:lineRule="auto"/>
        <w:jc w:val="both"/>
        <w:rPr>
          <w:rFonts w:ascii="Bookman Old Style" w:eastAsia="SimSun" w:hAnsi="Bookman Old Style" w:cstheme="minorHAnsi"/>
          <w:color w:val="000000" w:themeColor="text1"/>
          <w:kern w:val="3"/>
          <w:lang w:eastAsia="hi-IN" w:bidi="hi-IN"/>
        </w:rPr>
      </w:pPr>
      <w:r w:rsidRPr="00B258FA">
        <w:rPr>
          <w:rFonts w:ascii="Bookman Old Style" w:eastAsia="SimSun" w:hAnsi="Bookman Old Style" w:cstheme="minorHAnsi"/>
          <w:color w:val="000000" w:themeColor="text1"/>
          <w:kern w:val="3"/>
          <w:lang w:eastAsia="hi-IN" w:bidi="hi-IN"/>
        </w:rPr>
        <w:t>______________________.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/>
          <w:bCs/>
        </w:rPr>
      </w:pPr>
      <w:r w:rsidRPr="00B258FA">
        <w:rPr>
          <w:rFonts w:ascii="Bookman Old Style" w:eastAsia="Times New Roman" w:hAnsi="Bookman Old Style" w:cs="Times New Roman"/>
          <w:b/>
          <w:bCs/>
          <w:color w:val="000000"/>
          <w:lang w:eastAsia="pt-BR"/>
        </w:rPr>
        <w:t xml:space="preserve">3.5. </w:t>
      </w:r>
      <w:r w:rsidRPr="00B258FA">
        <w:rPr>
          <w:rFonts w:ascii="Bookman Old Style" w:hAnsi="Bookman Old Style" w:cstheme="minorHAnsi"/>
          <w:b/>
          <w:bCs/>
        </w:rPr>
        <w:t>Da aplicação do tratamento diferenciado da LC 123/2006: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Theme="minorEastAsia" w:hAnsi="Bookman Old Style" w:cs="Arial"/>
        </w:rPr>
      </w:pPr>
      <w:sdt>
        <w:sdtPr>
          <w:rPr>
            <w:rFonts w:ascii="Bookman Old Style" w:eastAsia="MS Gothic" w:hAnsi="Bookman Old Style" w:cs="Arial"/>
          </w:rPr>
          <w:id w:val="-82621338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</w:rPr>
            <w:t>☒</w:t>
          </w:r>
        </w:sdtContent>
      </w:sdt>
      <w:r w:rsidRPr="00B258FA">
        <w:rPr>
          <w:rFonts w:ascii="Bookman Old Style" w:eastAsiaTheme="minorEastAsia" w:hAnsi="Bookman Old Style" w:cs="Arial"/>
        </w:rPr>
        <w:t xml:space="preserve"> - Contratação com </w:t>
      </w:r>
      <w:r w:rsidRPr="00B258FA">
        <w:rPr>
          <w:rFonts w:ascii="Bookman Old Style" w:eastAsiaTheme="minorEastAsia" w:hAnsi="Bookman Old Style" w:cs="Arial"/>
          <w:b/>
        </w:rPr>
        <w:t xml:space="preserve">itens exclusivos </w:t>
      </w:r>
      <w:r w:rsidRPr="00B258FA">
        <w:rPr>
          <w:rFonts w:ascii="Bookman Old Style" w:eastAsiaTheme="minorEastAsia" w:hAnsi="Bookman Old Style" w:cs="Arial"/>
        </w:rPr>
        <w:t>para os beneficiados (art. 48, I, LC123/06).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/>
          <w:iCs/>
        </w:rPr>
      </w:pPr>
      <w:r w:rsidRPr="00B258FA">
        <w:rPr>
          <w:rFonts w:ascii="Bookman Old Style" w:hAnsi="Bookman Old Style" w:cstheme="minorHAnsi"/>
          <w:b/>
          <w:iCs/>
        </w:rPr>
        <w:t>Itens: 1 ao 13.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="Arial"/>
        </w:rPr>
      </w:pPr>
      <w:sdt>
        <w:sdtPr>
          <w:rPr>
            <w:rFonts w:ascii="Bookman Old Style" w:eastAsia="MS Gothic" w:hAnsi="Bookman Old Style" w:cs="Arial"/>
          </w:rPr>
          <w:id w:val="3006621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</w:rPr>
            <w:t>☐</w:t>
          </w:r>
        </w:sdtContent>
      </w:sdt>
      <w:r w:rsidRPr="00B258FA">
        <w:rPr>
          <w:rFonts w:ascii="Bookman Old Style" w:hAnsi="Bookman Old Style" w:cs="Arial"/>
        </w:rPr>
        <w:t xml:space="preserve"> - Justifica-se a não utilização do benefício pelas razões abaixo: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/>
          <w:iCs/>
        </w:rPr>
      </w:pPr>
      <w:r w:rsidRPr="00B258FA">
        <w:rPr>
          <w:rFonts w:ascii="Bookman Old Style" w:hAnsi="Bookman Old Style" w:cs="Arial"/>
        </w:rPr>
        <w:t>_________________.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Theme="minorEastAsia" w:hAnsi="Bookman Old Style" w:cs="Arial"/>
        </w:rPr>
      </w:pPr>
      <w:sdt>
        <w:sdtPr>
          <w:rPr>
            <w:rFonts w:ascii="Bookman Old Style" w:eastAsiaTheme="minorEastAsia" w:hAnsi="Bookman Old Style" w:cs="Arial"/>
          </w:rPr>
          <w:id w:val="-12408634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</w:rPr>
            <w:t>☐</w:t>
          </w:r>
        </w:sdtContent>
      </w:sdt>
      <w:r w:rsidRPr="00B258FA">
        <w:rPr>
          <w:rFonts w:ascii="Bookman Old Style" w:eastAsiaTheme="minorEastAsia" w:hAnsi="Bookman Old Style" w:cs="Arial"/>
        </w:rPr>
        <w:t xml:space="preserve"> - </w:t>
      </w:r>
      <w:r w:rsidRPr="00B258FA">
        <w:rPr>
          <w:rFonts w:ascii="Bookman Old Style" w:eastAsiaTheme="minorEastAsia" w:hAnsi="Bookman Old Style" w:cs="Arial"/>
          <w:b/>
        </w:rPr>
        <w:t>Cota Reservada</w:t>
      </w:r>
      <w:r w:rsidRPr="00B258FA">
        <w:rPr>
          <w:rFonts w:ascii="Bookman Old Style" w:eastAsiaTheme="minorEastAsia" w:hAnsi="Bookman Old Style" w:cs="Arial"/>
        </w:rPr>
        <w:t xml:space="preserve"> de até 25% (art. 48, III, LC123/06).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/>
          <w:iCs/>
        </w:rPr>
      </w:pPr>
      <w:r w:rsidRPr="00B258FA">
        <w:rPr>
          <w:rFonts w:ascii="Bookman Old Style" w:hAnsi="Bookman Old Style" w:cstheme="minorHAnsi"/>
          <w:b/>
          <w:iCs/>
        </w:rPr>
        <w:t>Itens: _____; _____...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="Arial"/>
        </w:rPr>
      </w:pPr>
      <w:sdt>
        <w:sdtPr>
          <w:rPr>
            <w:rFonts w:ascii="Bookman Old Style" w:eastAsia="MS Gothic" w:hAnsi="Bookman Old Style" w:cs="Arial"/>
          </w:rPr>
          <w:id w:val="45116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</w:rPr>
            <w:t>☐</w:t>
          </w:r>
        </w:sdtContent>
      </w:sdt>
      <w:r w:rsidRPr="00B258FA">
        <w:rPr>
          <w:rFonts w:ascii="Bookman Old Style" w:hAnsi="Bookman Old Style" w:cs="Arial"/>
        </w:rPr>
        <w:t xml:space="preserve"> - Justifica-se a não utilização do benefício pelas razões abaixo: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</w:rPr>
        <w:t>_________________.</w:t>
      </w:r>
    </w:p>
    <w:p w:rsidR="00332FBB" w:rsidRPr="00B258FA" w:rsidRDefault="00332FBB" w:rsidP="00332FBB">
      <w:pPr>
        <w:tabs>
          <w:tab w:val="left" w:pos="9498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</w:rPr>
      </w:pPr>
    </w:p>
    <w:p w:rsidR="00332FBB" w:rsidRPr="00B258FA" w:rsidRDefault="00332FBB" w:rsidP="00332FBB">
      <w:pPr>
        <w:tabs>
          <w:tab w:val="left" w:pos="9498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</w:rPr>
      </w:pPr>
      <w:r w:rsidRPr="00B258FA">
        <w:rPr>
          <w:rFonts w:ascii="Bookman Old Style" w:hAnsi="Bookman Old Style" w:cs="Arial"/>
          <w:b/>
          <w:bCs/>
        </w:rPr>
        <w:t xml:space="preserve">4. DA DESCRIÇÃO DA NECESSIDADE/JUSTIFICATIVA DA CONTRATAÇÃO </w:t>
      </w:r>
    </w:p>
    <w:p w:rsidR="00332FBB" w:rsidRPr="00B258FA" w:rsidRDefault="00332FBB" w:rsidP="00332FBB">
      <w:pPr>
        <w:tabs>
          <w:tab w:val="left" w:pos="9498"/>
        </w:tabs>
        <w:adjustRightInd w:val="0"/>
        <w:spacing w:after="0" w:line="240" w:lineRule="auto"/>
        <w:jc w:val="both"/>
        <w:rPr>
          <w:rFonts w:ascii="Bookman Old Style" w:hAnsi="Bookman Old Style" w:cs="Arial"/>
          <w:bCs/>
        </w:rPr>
      </w:pPr>
      <w:r w:rsidRPr="00B258FA">
        <w:rPr>
          <w:rFonts w:ascii="Bookman Old Style" w:hAnsi="Bookman Old Style" w:cs="Arial"/>
          <w:bCs/>
        </w:rPr>
        <w:t>A aquisição do objeto se justifica, pois, se trata de materiais essenciais e necessários à manutenção e preservação do sistema de Iluminação Pública Municipal. Importante ressaltar que um sistema de iluminação público eficiente, além de promover bem-estar a população, é fato preponderante na prevenção de criminalidade. Por outro lado, uma iluminação pública ineficiente é um facilitador para a prática de crimes, colocando a segurança da população em risco. Sendo assim, para manutenção dos serviços de iluminação pública, se faz imprescindível a aquisição dos itens que contemplam o objeto desde instrumento.</w:t>
      </w:r>
    </w:p>
    <w:p w:rsidR="00332FBB" w:rsidRPr="00B258FA" w:rsidRDefault="00332FBB" w:rsidP="00332FBB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</w:rPr>
      </w:pPr>
    </w:p>
    <w:p w:rsidR="00332FBB" w:rsidRPr="00B258FA" w:rsidRDefault="00332FBB" w:rsidP="00332FBB">
      <w:pPr>
        <w:tabs>
          <w:tab w:val="left" w:pos="2127"/>
        </w:tabs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</w:rPr>
      </w:pPr>
      <w:r w:rsidRPr="00B258FA">
        <w:rPr>
          <w:rFonts w:ascii="Bookman Old Style" w:hAnsi="Bookman Old Style" w:cs="Arial"/>
          <w:b/>
          <w:bCs/>
        </w:rPr>
        <w:t xml:space="preserve">5. DOS REQUISITOS DA CONTRATAÇÃO 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  <w:bCs/>
        </w:rPr>
      </w:pPr>
      <w:r w:rsidRPr="00B258FA">
        <w:rPr>
          <w:rFonts w:ascii="Bookman Old Style" w:hAnsi="Bookman Old Style" w:cs="Arial"/>
          <w:bCs/>
        </w:rPr>
        <w:t>5.1. O presente estudo registra os principais requisitos para a contratação, conforme abaixo: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</w:rPr>
        <w:t>5.1.1 Prazo de entrega/execução: O fornecedor tem o prazo de 10 (dez) dias desde a solicitação feita pelo setor de compras.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</w:rPr>
      </w:pPr>
      <w:r w:rsidRPr="00B258FA">
        <w:rPr>
          <w:rFonts w:ascii="Bookman Old Style" w:hAnsi="Bookman Old Style" w:cs="Arial"/>
        </w:rPr>
        <w:t>5.1.2. Local e horário da entrega:</w:t>
      </w:r>
      <w:r w:rsidRPr="00B258FA">
        <w:rPr>
          <w:rFonts w:ascii="Bookman Old Style" w:eastAsia="Calibri" w:hAnsi="Bookman Old Style" w:cs="Times New Roman"/>
          <w:b/>
        </w:rPr>
        <w:t xml:space="preserve"> </w:t>
      </w:r>
      <w:r w:rsidRPr="00B258FA">
        <w:rPr>
          <w:rFonts w:ascii="Bookman Old Style" w:hAnsi="Bookman Old Style" w:cs="Arial"/>
          <w:b/>
        </w:rPr>
        <w:t>As entregas deverão ser realizadas no município de Eugenópolis, inclusive nos Distritos, em dias úteis, entre 08 h (oito horas) as 16h (dezesseis horas), cujo local e seu endereço serão previamente informados na ordem de fornecimento ou de outro documento equivalente.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</w:rPr>
        <w:lastRenderedPageBreak/>
        <w:t>5.1.3. Condições do recebimento:</w:t>
      </w:r>
      <w:r w:rsidRPr="00B258FA">
        <w:rPr>
          <w:rFonts w:ascii="Bookman Old Style" w:eastAsia="Calibri" w:hAnsi="Bookman Old Style" w:cs="Times New Roman"/>
        </w:rPr>
        <w:t xml:space="preserve"> </w:t>
      </w:r>
      <w:r w:rsidRPr="00B258FA">
        <w:rPr>
          <w:rFonts w:ascii="Bookman Old Style" w:hAnsi="Bookman Old Style" w:cs="Arial"/>
        </w:rPr>
        <w:t xml:space="preserve">Em até </w:t>
      </w:r>
      <w:r w:rsidRPr="00B258FA">
        <w:rPr>
          <w:rFonts w:ascii="Bookman Old Style" w:hAnsi="Bookman Old Style" w:cs="Arial"/>
          <w:b/>
        </w:rPr>
        <w:t>20 dias</w:t>
      </w:r>
      <w:r w:rsidRPr="00B258FA">
        <w:rPr>
          <w:rFonts w:ascii="Bookman Old Style" w:hAnsi="Bookman Old Style" w:cs="Arial"/>
        </w:rPr>
        <w:t xml:space="preserve"> após entrega do produto e sua respectiva nota fiscal ao setor de tesouraria da prefeitura.</w:t>
      </w:r>
    </w:p>
    <w:p w:rsidR="00332FBB" w:rsidRPr="00B258FA" w:rsidRDefault="00332FBB" w:rsidP="00332FBB">
      <w:pPr>
        <w:shd w:val="clear" w:color="auto" w:fill="FFFFFF"/>
        <w:spacing w:after="0" w:line="240" w:lineRule="auto"/>
        <w:jc w:val="both"/>
        <w:rPr>
          <w:rFonts w:ascii="Bookman Old Style" w:hAnsi="Bookman Old Style"/>
        </w:rPr>
      </w:pPr>
      <w:r w:rsidRPr="00B258FA">
        <w:rPr>
          <w:rFonts w:ascii="Bookman Old Style" w:hAnsi="Bookman Old Style" w:cs="Arial"/>
        </w:rPr>
        <w:t xml:space="preserve">5.1.4. Prazo e forma de garantia </w:t>
      </w:r>
      <w:r w:rsidRPr="00B258FA">
        <w:rPr>
          <w:rFonts w:ascii="Bookman Old Style" w:hAnsi="Bookman Old Style"/>
        </w:rPr>
        <w:t>(garantias legal e complementar - inciso III, § 1º, art. 40 – art. 58 - § 1º do art. 96, NLL):</w:t>
      </w:r>
      <w:r w:rsidRPr="00B258FA">
        <w:rPr>
          <w:rFonts w:ascii="Bookman Old Style" w:eastAsia="Calibri" w:hAnsi="Bookman Old Style" w:cs="Times New Roman"/>
        </w:rPr>
        <w:t xml:space="preserve"> </w:t>
      </w:r>
      <w:r w:rsidRPr="00B258FA">
        <w:rPr>
          <w:rFonts w:ascii="Bookman Old Style" w:hAnsi="Bookman Old Style"/>
        </w:rPr>
        <w:t>Garantia Legal do CDC.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</w:rPr>
        <w:t xml:space="preserve">5.1.5. Prazo para substituição/correção: O prazo de substituição será de </w:t>
      </w:r>
      <w:r w:rsidRPr="00B258FA">
        <w:rPr>
          <w:rFonts w:ascii="Bookman Old Style" w:hAnsi="Bookman Old Style" w:cs="Arial"/>
          <w:b/>
        </w:rPr>
        <w:t>10 (dez) dias</w:t>
      </w:r>
      <w:r w:rsidRPr="00B258FA">
        <w:rPr>
          <w:rFonts w:ascii="Bookman Old Style" w:hAnsi="Bookman Old Style" w:cs="Arial"/>
        </w:rPr>
        <w:t>.</w:t>
      </w:r>
    </w:p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</w:rPr>
      </w:pPr>
      <w:r w:rsidRPr="00B258FA">
        <w:rPr>
          <w:rFonts w:ascii="Bookman Old Style" w:hAnsi="Bookman Old Style" w:cs="Arial"/>
        </w:rPr>
        <w:t xml:space="preserve">5.1.6. Prazo de vigência da contratação: o prazo de vigência da ARP será de até </w:t>
      </w:r>
      <w:r w:rsidRPr="00B258FA">
        <w:rPr>
          <w:rFonts w:ascii="Bookman Old Style" w:hAnsi="Bookman Old Style" w:cs="Arial"/>
          <w:b/>
        </w:rPr>
        <w:t>12 meses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</w:pP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</w:pPr>
      <w:r w:rsidRPr="00B258FA"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  <w:t>6. DA ESPECIFICAÇÃO TÉCNICA E DA ESTIMATIVA DA QUANTIDADE PARA A CONTRATAÇÃO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theme="minorHAnsi"/>
          <w:bCs/>
        </w:rPr>
      </w:pPr>
      <w:r w:rsidRPr="00B258FA">
        <w:rPr>
          <w:rFonts w:ascii="Bookman Old Style" w:hAnsi="Bookman Old Style" w:cstheme="minorHAnsi"/>
          <w:bCs/>
        </w:rPr>
        <w:t xml:space="preserve">Considerando que </w:t>
      </w:r>
      <w:r w:rsidRPr="00B258FA">
        <w:rPr>
          <w:rFonts w:ascii="Bookman Old Style" w:hAnsi="Bookman Old Style" w:cstheme="minorHAnsi"/>
        </w:rPr>
        <w:t xml:space="preserve">houve </w:t>
      </w:r>
      <w:r w:rsidRPr="00B258FA">
        <w:rPr>
          <w:rFonts w:ascii="Bookman Old Style" w:hAnsi="Bookman Old Style" w:cstheme="minorHAnsi"/>
          <w:bCs/>
        </w:rPr>
        <w:t xml:space="preserve">contratação anterior do objeto para nortear o planejamento da quantidade a ser adquirida, a partir do quantitativo solicitado e eventos que possam impactar na demanda futura, a quantidade para atender </w:t>
      </w:r>
      <w:proofErr w:type="spellStart"/>
      <w:r w:rsidRPr="00B258FA">
        <w:rPr>
          <w:rFonts w:ascii="Bookman Old Style" w:hAnsi="Bookman Old Style" w:cstheme="minorHAnsi"/>
          <w:bCs/>
        </w:rPr>
        <w:t>a</w:t>
      </w:r>
      <w:proofErr w:type="spellEnd"/>
      <w:r w:rsidRPr="00B258FA">
        <w:rPr>
          <w:rFonts w:ascii="Bookman Old Style" w:hAnsi="Bookman Old Style" w:cstheme="minorHAnsi"/>
          <w:bCs/>
        </w:rPr>
        <w:t xml:space="preserve"> necessidade estão informadas na relação de serviços e cronograma de execução, constantes na solicitação de demanda e neste estudo.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10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1028"/>
        <w:gridCol w:w="5275"/>
        <w:gridCol w:w="1605"/>
        <w:gridCol w:w="1304"/>
      </w:tblGrid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Item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Unidade de medida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Quantidade a adquirir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0001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BRAÇO LUMINÁRIA EXTERNA PARA ILUMINAÇÃO PUBLICA, MATERIAL AÇO CARBONO, PESO 6 KG, TRATAMENTO SUPERFICIAL ZINCAGEM POR IMERSÃO A QUENTE, TIPO FIXAÇÃO POR BRAÇADEIRAS, DIÂMETRO TUBO 48 MM, ALTURA 160 MM, COMPRIMENTO 1.600 MM, DIÂMETRO FURO 18 MM, DISTÂNCIA ENTRE FUROS 200 MM, ÂNGULO INCLINAÇÃO 15 GRA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0002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BRAÇO LUMINÁRIA EXTERNA PARA ILUMINAÇÃO PUBLICA, MATERIAL AÇO CARBONO, TRATAMENTO SUPERFICIAL ZINCAGEM POR IMERSÃO A QUENTE, TIPO FIXAÇÃO POR BRAÇADEIRAS, DIÂMETRO TUBO 48 MM, ALTURA 160 MM, COMPRIMENTO 3.000 MM, DIÂMETRO FURO 18 MM, DISTÂNCIA ENTRE FUROS 200 MM, ÂNGULO INCLINAÇÃO 15 GRA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0003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LÂMPADA 100W VAPOR SODIO e40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70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0004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LÂMPADA 250W VAPOR SODIO e40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100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0005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100W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0006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150W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0007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200W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0008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60W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0009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PARAFUSO GALVANIZADO 5/8 X 250MM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500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0010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Poste de Concreto duplo T - 90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daN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  Compatível com Padrões Bifásicos e Trifásicos Cabos: 70, 95, 120 mm²  dimensões poste: 7m x 300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daN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 dimensões da cavidade: 40cm x 40cm x 1,35 prof. dimensões da base do poste: 28 x 35 cm dimensões do topo do poste: 11,5 x 13,5 cm </w:t>
            </w: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COM INSTALAÇÃO</w:t>
            </w: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 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0011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REATOR PARA LÂMPADA DE VAPOR SÓDIO 100W, 220V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70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0012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REATOR PARA LÂMPADA DE VAPOR SÓDIO 250W, 220V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100</w:t>
            </w:r>
          </w:p>
        </w:tc>
      </w:tr>
      <w:tr w:rsidR="00332FBB" w:rsidRPr="00B258FA" w:rsidTr="00D93FF4">
        <w:tc>
          <w:tcPr>
            <w:tcW w:w="5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0013</w:t>
            </w:r>
          </w:p>
        </w:tc>
        <w:tc>
          <w:tcPr>
            <w:tcW w:w="2863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RELÉ PROTEÇÃO SISTEMA ELÉTRICO, TIPO FOTOELÉTRICO, POTÊNCIA 1000W, TENSÃO 220V, CARACTERÍSTICAS ADICIONAIS C/ BASE</w:t>
            </w:r>
          </w:p>
        </w:tc>
        <w:tc>
          <w:tcPr>
            <w:tcW w:w="871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70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500</w:t>
            </w:r>
          </w:p>
        </w:tc>
      </w:tr>
    </w:tbl>
    <w:p w:rsidR="00332FBB" w:rsidRPr="00B258FA" w:rsidRDefault="00332FBB" w:rsidP="00332FBB">
      <w:pPr>
        <w:spacing w:after="0" w:line="240" w:lineRule="auto"/>
        <w:jc w:val="both"/>
        <w:rPr>
          <w:rFonts w:ascii="Bookman Old Style" w:eastAsiaTheme="minorEastAsia" w:hAnsi="Bookman Old Style" w:cs="Arial"/>
          <w:iCs/>
        </w:rPr>
      </w:pP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</w:pPr>
      <w:r w:rsidRPr="00B258FA"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  <w:t>7. DA ESTIMATIVA DO VALOR DA CONTRATAÇÃO, ACOMPANHADA DOS PREÇOS UNITÁRIOS REFERENCIAIS, DAS MEMÓRIAS DE CÁLCULO E DOS DOCUMENTOS QUE LHE DÃO SUPORTE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/>
          <w:b/>
          <w:color w:val="0D0D0D" w:themeColor="text1" w:themeTint="F2"/>
        </w:rPr>
      </w:pPr>
      <w:r w:rsidRPr="00B258FA">
        <w:rPr>
          <w:rFonts w:ascii="Bookman Old Style" w:hAnsi="Bookman Old Style"/>
          <w:b/>
          <w:color w:val="0D0D0D" w:themeColor="text1" w:themeTint="F2"/>
        </w:rPr>
        <w:t>7.1. Parâmetros utilizados:</w:t>
      </w: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 w:cs="Arial"/>
          <w:iCs/>
        </w:rPr>
      </w:pPr>
      <w:r w:rsidRPr="00B258FA">
        <w:rPr>
          <w:rFonts w:ascii="Bookman Old Style" w:hAnsi="Bookman Old Style"/>
          <w:b/>
          <w:color w:val="0D0D0D" w:themeColor="text1" w:themeTint="F2"/>
        </w:rPr>
        <w:t xml:space="preserve">7.2. </w:t>
      </w:r>
      <w:r w:rsidRPr="00B258FA">
        <w:rPr>
          <w:rFonts w:ascii="Bookman Old Style" w:hAnsi="Bookman Old Style"/>
          <w:color w:val="0D0D0D" w:themeColor="text1" w:themeTint="F2"/>
        </w:rPr>
        <w:t>A partir do quantitativo estudado em atendimento à Secretaria demandante e os parâmetros obtidos através das pesquisas de mercado realizadas no presente estudo, que intentaram o valor mais próximo possível do praticado no mercado, segue estimativa do valor da contratação conforme documentos anexos e exposição na tabela abaixo:</w:t>
      </w:r>
      <w:r w:rsidRPr="00B258FA">
        <w:rPr>
          <w:rFonts w:ascii="Bookman Old Style" w:eastAsia="Cambria" w:hAnsi="Bookman Old Style" w:cs="Arial"/>
          <w:b/>
          <w:i/>
          <w:iCs/>
          <w:color w:val="FF0000"/>
        </w:rPr>
        <w:t xml:space="preserve">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10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660"/>
        <w:gridCol w:w="3384"/>
        <w:gridCol w:w="1030"/>
        <w:gridCol w:w="1196"/>
        <w:gridCol w:w="1409"/>
        <w:gridCol w:w="1533"/>
      </w:tblGrid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Item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Unidade de Medida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Quantidade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Valor Total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0001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BRAÇO LUMINÁRIA EXTERNA PARA ILUMINAÇÃO PUBLICA, MATERIAL AÇO CARBONO, PESO 6 KG, TRATAMENTO SUPERFICIAL ZINCAGEM POR IMERSÃO A QUENTE, TIPO FIXAÇÃO POR BRAÇADEIRAS, DIÂMETRO TUBO 48 MM, ALTURA 160 MM, COMPRIMENTO 1.600 MM, DIÂMETRO FURO 18 MM, DISTÂNCIA ENTRE FUROS 200 MM, ÂNGULO INCLINAÇÃO 15 GRA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196,3333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5.889,9990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0002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BRAÇO LUMINÁRIA EXTERNA PARA ILUMINAÇÃO PUBLICA, MATERIAL AÇO CARBONO, TRATAMENTO SUPERFICIAL ZINCAGEM POR IMERSÃO A QUENTE, TIPO FIXAÇÃO POR BRAÇADEIRAS, DIÂMETRO TUBO 48 MM, ALTURA 160 MM, COMPRIMENTO 3.000 MM, DIÂMETRO FURO 18 MM, DISTÂNCIA ENTRE FUROS 200 MM, ÂNGULO INCLINAÇÃO 15 GRA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247,2500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7.417,5000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0003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LÂMPADA 100W VAPOR SODIO e40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70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41,0000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2.870,0000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0004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LÂMPADA 250W VAPOR SODIO e40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100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40,3750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4.037,5000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0005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100W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477,5000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14.325,0000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0006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150W 220V PROTEÇÃO IP66 E PROTEÇÃO ELÉTRICA 10KV/12KA 5.000°K(BRANCO)C/ BASE PRA </w:t>
            </w: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524,7500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10.495,0000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0007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200W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594,7500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8.921,2500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0008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LUMINARIA PUBLICA LED 60W 220V PROTEÇÃO IP66 E PROTEÇÃO ELÉTRICA 10KV/12KA 5.000°K(BRANCO)C/ BASE PRA RELE TRADICIONAL, EFICIENCIA 150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Lm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/W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374,2500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11.227,5000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0009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PARAFUSO GALVANIZADO 5/8 X 250MM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500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16,8750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8.437,5000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0010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Poste de Concreto duplo T - 90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daN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  Compatível com Padrões Bifásicos e Trifásicos Cabos: 70, 95, 120 mm²  dimensões poste: 7m x 300 </w:t>
            </w:r>
            <w:proofErr w:type="spellStart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daN</w:t>
            </w:r>
            <w:proofErr w:type="spellEnd"/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 dimensões da cavidade: 40cm x 40cm x 1,35 prof. dimensões da base do poste: 28 x 35 cm dimensões do topo do poste: 11,5 x 13,5 cm </w:t>
            </w: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COM INSTALAÇÃO</w:t>
            </w: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 xml:space="preserve"> 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1.546,6667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30.933,3340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0011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REATOR PARA LÂMPADA DE VAPOR SÓDIO 100W, 220V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70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110,5000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7.735,0000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0012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REATOR PARA LÂMPADA DE VAPOR SÓDIO 250W, 220V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100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134,2500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13.425,0000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0013</w:t>
            </w: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RELÉ PROTEÇÃO SISTEMA ELÉTRICO, TIPO FOTOELÉTRICO, POTÊNCIA 1000W, TENSÃO 220V, CARACTERÍSTICAS ADICIONAIS C/ BASE</w:t>
            </w: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500</w:t>
            </w: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33,2500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sz w:val="18"/>
                <w:szCs w:val="18"/>
              </w:rPr>
              <w:t>16.625,0000</w:t>
            </w:r>
          </w:p>
        </w:tc>
      </w:tr>
      <w:tr w:rsidR="00332FBB" w:rsidRPr="00B258FA" w:rsidTr="00D93FF4">
        <w:tc>
          <w:tcPr>
            <w:tcW w:w="358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1837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55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b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Total</w:t>
            </w:r>
          </w:p>
        </w:tc>
        <w:tc>
          <w:tcPr>
            <w:tcW w:w="832" w:type="pct"/>
            <w:shd w:val="clear" w:color="auto" w:fill="auto"/>
          </w:tcPr>
          <w:p w:rsidR="00332FBB" w:rsidRPr="00B258FA" w:rsidRDefault="00332FBB" w:rsidP="00D93FF4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b/>
                <w:sz w:val="18"/>
                <w:szCs w:val="18"/>
              </w:rPr>
            </w:pPr>
            <w:r w:rsidRPr="00B258FA">
              <w:rPr>
                <w:rFonts w:ascii="Bookman Old Style" w:eastAsia="Arial" w:hAnsi="Bookman Old Style" w:cs="Arial"/>
                <w:b/>
                <w:sz w:val="18"/>
                <w:szCs w:val="18"/>
              </w:rPr>
              <w:t>142.339,5830</w:t>
            </w:r>
          </w:p>
        </w:tc>
      </w:tr>
    </w:tbl>
    <w:p w:rsidR="00332FBB" w:rsidRPr="00B258FA" w:rsidRDefault="00332FBB" w:rsidP="00332FBB">
      <w:pPr>
        <w:adjustRightInd w:val="0"/>
        <w:spacing w:after="0" w:line="240" w:lineRule="auto"/>
        <w:jc w:val="both"/>
        <w:rPr>
          <w:rFonts w:ascii="Bookman Old Style" w:hAnsi="Bookman Old Style" w:cs="Arial"/>
          <w:b/>
          <w:iCs/>
          <w:color w:val="FF0000"/>
        </w:rPr>
      </w:pPr>
      <w:r w:rsidRPr="00B258FA">
        <w:rPr>
          <w:rFonts w:ascii="Bookman Old Style" w:hAnsi="Bookman Old Style" w:cs="Arial"/>
          <w:iCs/>
        </w:rPr>
        <w:t xml:space="preserve">O valor total estimado da contratação é de </w:t>
      </w:r>
      <w:r w:rsidRPr="00B258FA">
        <w:rPr>
          <w:rFonts w:ascii="Bookman Old Style" w:hAnsi="Bookman Old Style" w:cs="Arial"/>
          <w:b/>
          <w:iCs/>
        </w:rPr>
        <w:t>R$ 142.339,58 (cento e quarenta e dois mil, trezentos e trinta e nove reais e cinquenta e oito centavos).</w:t>
      </w:r>
    </w:p>
    <w:p w:rsidR="00332FBB" w:rsidRPr="00B258FA" w:rsidRDefault="00332FBB" w:rsidP="00332FBB">
      <w:pPr>
        <w:suppressAutoHyphens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position w:val="-1"/>
        </w:rPr>
      </w:pPr>
    </w:p>
    <w:p w:rsidR="00332FBB" w:rsidRPr="00B258FA" w:rsidRDefault="00332FBB" w:rsidP="00332FBB">
      <w:pPr>
        <w:suppressAutoHyphens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position w:val="-1"/>
        </w:rPr>
      </w:pPr>
      <w:r w:rsidRPr="00B258FA">
        <w:rPr>
          <w:rFonts w:ascii="Bookman Old Style" w:hAnsi="Bookman Old Style" w:cs="Arial"/>
          <w:b/>
          <w:bCs/>
          <w:position w:val="-1"/>
        </w:rPr>
        <w:t xml:space="preserve">8. DAS JUSTIFICATIVAS PARA O PARCELAMENTO OU NÃO DA SOLUÇÃO 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 w:cstheme="minorHAnsi"/>
          <w:color w:val="0D0D0D" w:themeColor="text1" w:themeTint="F2"/>
        </w:rPr>
      </w:pPr>
      <w:sdt>
        <w:sdtPr>
          <w:rPr>
            <w:rFonts w:ascii="Bookman Old Style" w:eastAsia="Times New Roman" w:hAnsi="Bookman Old Style" w:cstheme="minorHAnsi"/>
            <w:color w:val="0D0D0D" w:themeColor="text1" w:themeTint="F2"/>
          </w:rPr>
          <w:id w:val="15763134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D0D0D" w:themeColor="text1" w:themeTint="F2"/>
            </w:rPr>
            <w:t>☒</w:t>
          </w:r>
        </w:sdtContent>
      </w:sdt>
      <w:r w:rsidRPr="00B258FA">
        <w:rPr>
          <w:rFonts w:ascii="Bookman Old Style" w:eastAsia="Times New Roman" w:hAnsi="Bookman Old Style" w:cstheme="minorHAnsi"/>
          <w:color w:val="0D0D0D" w:themeColor="text1" w:themeTint="F2"/>
        </w:rPr>
        <w:t xml:space="preserve"> A contratação do objeto estudado se dará de forma dividida em </w:t>
      </w:r>
      <w:r w:rsidRPr="00B258FA">
        <w:rPr>
          <w:rFonts w:ascii="Bookman Old Style" w:eastAsia="Times New Roman" w:hAnsi="Bookman Old Style" w:cstheme="minorHAnsi"/>
        </w:rPr>
        <w:t xml:space="preserve">vários itens, por </w:t>
      </w:r>
      <w:r w:rsidRPr="00B258FA">
        <w:rPr>
          <w:rFonts w:ascii="Bookman Old Style" w:eastAsia="Times New Roman" w:hAnsi="Bookman Old Style" w:cstheme="minorHAnsi"/>
          <w:color w:val="0D0D0D" w:themeColor="text1" w:themeTint="F2"/>
        </w:rPr>
        <w:t>se mostrar tecnicamente e economicamente viável, além de permitir um número maior de interessados na participação da disputa, aumentando a competitividade e a viabilização de melhores propostas.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 w:cstheme="minorHAnsi"/>
          <w:color w:val="0D0D0D" w:themeColor="text1" w:themeTint="F2"/>
        </w:rPr>
      </w:pPr>
      <w:sdt>
        <w:sdtPr>
          <w:rPr>
            <w:rFonts w:ascii="Bookman Old Style" w:eastAsia="Times New Roman" w:hAnsi="Bookman Old Style" w:cstheme="minorHAnsi"/>
            <w:color w:val="0D0D0D" w:themeColor="text1" w:themeTint="F2"/>
          </w:rPr>
          <w:id w:val="-1276554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D0D0D" w:themeColor="text1" w:themeTint="F2"/>
            </w:rPr>
            <w:t>☐</w:t>
          </w:r>
        </w:sdtContent>
      </w:sdt>
      <w:r w:rsidRPr="00B258FA">
        <w:rPr>
          <w:rFonts w:ascii="Bookman Old Style" w:eastAsia="Times New Roman" w:hAnsi="Bookman Old Style" w:cstheme="minorHAnsi"/>
          <w:color w:val="0D0D0D" w:themeColor="text1" w:themeTint="F2"/>
        </w:rPr>
        <w:t xml:space="preserve"> A contratação do objeto não será parcelada por item, considerando prejuízos para o município em relação ao conjunto e a perda de economia de escala, além do melhor aproveitamento dos recursos disponíveis e facilitação do plano de fiscalização.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 w:cstheme="minorHAnsi"/>
          <w:color w:val="0D0D0D" w:themeColor="text1" w:themeTint="F2"/>
        </w:rPr>
      </w:pPr>
    </w:p>
    <w:p w:rsidR="00332FBB" w:rsidRPr="00B258FA" w:rsidRDefault="00332FBB" w:rsidP="00332FBB">
      <w:pPr>
        <w:spacing w:after="0" w:line="240" w:lineRule="auto"/>
        <w:jc w:val="both"/>
        <w:rPr>
          <w:rFonts w:ascii="Bookman Old Style" w:hAnsi="Bookman Old Style"/>
          <w:b/>
          <w:bCs/>
          <w:color w:val="0D0D0D" w:themeColor="text1" w:themeTint="F2"/>
        </w:rPr>
      </w:pPr>
      <w:r w:rsidRPr="00B258FA">
        <w:rPr>
          <w:rFonts w:ascii="Bookman Old Style" w:hAnsi="Bookman Old Style"/>
          <w:b/>
        </w:rPr>
        <w:t xml:space="preserve">9. </w:t>
      </w:r>
      <w:r w:rsidRPr="00B258FA">
        <w:rPr>
          <w:rFonts w:ascii="Bookman Old Style" w:hAnsi="Bookman Old Style"/>
          <w:b/>
          <w:bCs/>
          <w:color w:val="0D0D0D" w:themeColor="text1" w:themeTint="F2"/>
        </w:rPr>
        <w:t xml:space="preserve">DO GERENCIAMENTO DE RISCOS 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color w:val="0D0D0D" w:themeColor="text1" w:themeTint="F2"/>
        </w:rPr>
      </w:pPr>
      <w:sdt>
        <w:sdtPr>
          <w:rPr>
            <w:rFonts w:ascii="Bookman Old Style" w:eastAsia="Times New Roman" w:hAnsi="Bookman Old Style"/>
            <w:color w:val="0D0D0D" w:themeColor="text1" w:themeTint="F2"/>
          </w:rPr>
          <w:id w:val="39244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D0D0D" w:themeColor="text1" w:themeTint="F2"/>
            </w:rPr>
            <w:t>☐</w:t>
          </w:r>
        </w:sdtContent>
      </w:sdt>
      <w:r w:rsidRPr="00B258FA">
        <w:rPr>
          <w:rFonts w:ascii="Bookman Old Style" w:eastAsia="Times New Roman" w:hAnsi="Bookman Old Style"/>
          <w:color w:val="0D0D0D" w:themeColor="text1" w:themeTint="F2"/>
        </w:rPr>
        <w:t xml:space="preserve"> Os riscos ordinários, comuns a toda contratação, a exemplo da possibilidade de entrega do objeto fora das especificações técnicas pertinentes ou fora do prazo, ou do recebimento de produtos perto da validade encerrar, não serão pontuados na presente </w:t>
      </w:r>
      <w:r w:rsidRPr="00B258FA">
        <w:rPr>
          <w:rFonts w:ascii="Bookman Old Style" w:eastAsia="Times New Roman" w:hAnsi="Bookman Old Style"/>
          <w:color w:val="0D0D0D" w:themeColor="text1" w:themeTint="F2"/>
        </w:rPr>
        <w:lastRenderedPageBreak/>
        <w:t xml:space="preserve">análise de riscos, porquanto se encontram previstos no </w:t>
      </w:r>
      <w:r w:rsidRPr="00B258FA">
        <w:rPr>
          <w:rFonts w:ascii="Bookman Old Style" w:eastAsia="Times New Roman" w:hAnsi="Bookman Old Style"/>
          <w:color w:val="0D0D0D" w:themeColor="text1" w:themeTint="F2"/>
          <w:u w:val="single"/>
        </w:rPr>
        <w:t>plano básico de fiscalização</w:t>
      </w:r>
      <w:r w:rsidRPr="00B258FA">
        <w:rPr>
          <w:rFonts w:ascii="Bookman Old Style" w:eastAsia="Times New Roman" w:hAnsi="Bookman Old Style"/>
          <w:color w:val="0D0D0D" w:themeColor="text1" w:themeTint="F2"/>
        </w:rPr>
        <w:t xml:space="preserve"> e a equipe não identificou outros riscos que mereçam ser pontuados.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color w:val="0D0D0D" w:themeColor="text1" w:themeTint="F2"/>
        </w:rPr>
      </w:pPr>
      <w:sdt>
        <w:sdtPr>
          <w:rPr>
            <w:rFonts w:ascii="Bookman Old Style" w:eastAsia="Times New Roman" w:hAnsi="Bookman Old Style"/>
            <w:color w:val="0D0D0D" w:themeColor="text1" w:themeTint="F2"/>
          </w:rPr>
          <w:id w:val="-193497035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258FA">
            <w:rPr>
              <w:rFonts w:ascii="Segoe UI Symbol" w:eastAsia="MS Gothic" w:hAnsi="Segoe UI Symbol" w:cs="Segoe UI Symbol"/>
              <w:color w:val="0D0D0D" w:themeColor="text1" w:themeTint="F2"/>
            </w:rPr>
            <w:t>☒</w:t>
          </w:r>
        </w:sdtContent>
      </w:sdt>
      <w:r w:rsidRPr="00B258FA">
        <w:rPr>
          <w:rFonts w:ascii="Bookman Old Style" w:eastAsia="Times New Roman" w:hAnsi="Bookman Old Style"/>
          <w:color w:val="0D0D0D" w:themeColor="text1" w:themeTint="F2"/>
        </w:rPr>
        <w:t xml:space="preserve"> O presente estudo identificou os riscos abaixo relacionados, cujas ações mitigadoras sugeridas, se de atribuição dos fiscais, devem ser acrescidas às previstas no plano de fiscalização: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0"/>
        <w:gridCol w:w="6439"/>
      </w:tblGrid>
      <w:tr w:rsidR="00332FBB" w:rsidRPr="00B258FA" w:rsidTr="00D93F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</w:rPr>
            </w:pPr>
            <w:r w:rsidRPr="00B258FA">
              <w:rPr>
                <w:rFonts w:ascii="Bookman Old Style" w:eastAsia="Calibri" w:hAnsi="Bookman Old Style" w:cs="Times New Roman"/>
                <w:b/>
              </w:rPr>
              <w:t>RISCOS IDENTIFICADOS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</w:rPr>
            </w:pPr>
            <w:r w:rsidRPr="00B258FA">
              <w:rPr>
                <w:rFonts w:ascii="Bookman Old Style" w:eastAsia="Calibri" w:hAnsi="Bookman Old Style" w:cs="Times New Roman"/>
                <w:b/>
              </w:rPr>
              <w:t>MEDIDAS MITIGADORAS</w:t>
            </w:r>
          </w:p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</w:rPr>
            </w:pPr>
            <w:r w:rsidRPr="00B258FA">
              <w:rPr>
                <w:rFonts w:ascii="Bookman Old Style" w:eastAsia="Calibri" w:hAnsi="Bookman Old Style" w:cs="Times New Roman"/>
                <w:b/>
              </w:rPr>
              <w:t xml:space="preserve">(AÇÕES PARA OBSERVÂNCIA DOS fiscais/agente de contratação, </w:t>
            </w:r>
            <w:proofErr w:type="spellStart"/>
            <w:r w:rsidRPr="00B258FA">
              <w:rPr>
                <w:rFonts w:ascii="Bookman Old Style" w:eastAsia="Calibri" w:hAnsi="Bookman Old Style" w:cs="Times New Roman"/>
                <w:b/>
              </w:rPr>
              <w:t>etc</w:t>
            </w:r>
            <w:proofErr w:type="spellEnd"/>
            <w:r w:rsidRPr="00B258FA">
              <w:rPr>
                <w:rFonts w:ascii="Bookman Old Style" w:eastAsia="Calibri" w:hAnsi="Bookman Old Style" w:cs="Times New Roman"/>
                <w:b/>
              </w:rPr>
              <w:t>)</w:t>
            </w:r>
          </w:p>
        </w:tc>
      </w:tr>
      <w:tr w:rsidR="00332FBB" w:rsidRPr="00B258FA" w:rsidTr="00D93F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  <w:r w:rsidRPr="00B258FA">
              <w:rPr>
                <w:rFonts w:ascii="Bookman Old Style" w:eastAsia="Calibri" w:hAnsi="Bookman Old Style" w:cs="Times New Roman"/>
              </w:rPr>
              <w:t>Produto com especificação inferior ao descritivo contratado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  <w:r w:rsidRPr="00B258FA">
              <w:rPr>
                <w:rFonts w:ascii="Bookman Old Style" w:eastAsia="Calibri" w:hAnsi="Bookman Old Style" w:cs="Times New Roman"/>
              </w:rPr>
              <w:t>Não receber o produto e conceder o prazo de 48h, para substituição do produto, de acordo com as especificações contratadas, sob pena de aplicação das sanções aplicáveis ao caso.</w:t>
            </w:r>
          </w:p>
        </w:tc>
      </w:tr>
      <w:tr w:rsidR="00332FBB" w:rsidRPr="00B258FA" w:rsidTr="00D93F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</w:p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  <w:r w:rsidRPr="00B258FA">
              <w:rPr>
                <w:rFonts w:ascii="Bookman Old Style" w:eastAsia="Calibri" w:hAnsi="Bookman Old Style" w:cs="Times New Roman"/>
              </w:rPr>
              <w:t>Produto danificado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  <w:r w:rsidRPr="00B258FA">
              <w:rPr>
                <w:rFonts w:ascii="Bookman Old Style" w:eastAsia="Calibri" w:hAnsi="Bookman Old Style" w:cs="Times New Roman"/>
              </w:rPr>
              <w:t>Não receber o produto e conceder o prazo de 24h, para substituição do produto, de acordo com as especificações contratadas, sob pena de aplicação das sanções aplicáveis ao caso.</w:t>
            </w:r>
          </w:p>
        </w:tc>
      </w:tr>
      <w:tr w:rsidR="00332FBB" w:rsidRPr="00B258FA" w:rsidTr="00D93FF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  <w:r w:rsidRPr="00B258FA">
              <w:rPr>
                <w:rFonts w:ascii="Bookman Old Style" w:eastAsia="Calibri" w:hAnsi="Bookman Old Style" w:cs="Times New Roman"/>
              </w:rPr>
              <w:t>Atraso na entrega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FBB" w:rsidRPr="00B258FA" w:rsidRDefault="00332FBB" w:rsidP="00D93FF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</w:rPr>
            </w:pPr>
            <w:r w:rsidRPr="00B258FA">
              <w:rPr>
                <w:rFonts w:ascii="Bookman Old Style" w:eastAsia="Calibri" w:hAnsi="Bookman Old Style" w:cs="Times New Roman"/>
              </w:rPr>
              <w:t>Notificar por e-mail e entrar em contato com a empresa, concedendo-lhe o prazo de até 48h para a entrega do material, sob pena de aplicação de multa e demais sanções aplicáveis ao caso. Não sendo atendido, verificar possibilidade de convocar a licitante participante na ordem de sua classificação, observando-se o cumprimento das condições de contratação.</w:t>
            </w:r>
          </w:p>
        </w:tc>
      </w:tr>
    </w:tbl>
    <w:p w:rsidR="00332FBB" w:rsidRPr="00B258FA" w:rsidRDefault="00332FBB" w:rsidP="00332FBB">
      <w:pPr>
        <w:tabs>
          <w:tab w:val="left" w:pos="3456"/>
        </w:tabs>
        <w:suppressAutoHyphens/>
        <w:spacing w:after="0" w:line="240" w:lineRule="auto"/>
        <w:jc w:val="both"/>
        <w:textAlignment w:val="baseline"/>
        <w:rPr>
          <w:rFonts w:ascii="Bookman Old Style" w:eastAsia="Times New Roman" w:hAnsi="Bookman Old Style" w:cs="Times New Roman"/>
          <w:b/>
          <w:kern w:val="3"/>
          <w:lang w:eastAsia="zh-CN"/>
        </w:rPr>
      </w:pPr>
      <w:r w:rsidRPr="00B258FA">
        <w:rPr>
          <w:rFonts w:ascii="Bookman Old Style" w:eastAsia="Times New Roman" w:hAnsi="Bookman Old Style" w:cs="Times New Roman"/>
          <w:b/>
          <w:kern w:val="3"/>
          <w:lang w:eastAsia="zh-CN"/>
        </w:rPr>
        <w:t>9.1. Do Plano Básico de Fiscalização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b/>
          <w:color w:val="0D0D0D" w:themeColor="text1" w:themeTint="F2"/>
        </w:rPr>
      </w:pPr>
      <w:proofErr w:type="gramStart"/>
      <w:r w:rsidRPr="00B258FA">
        <w:rPr>
          <w:rFonts w:ascii="Bookman Old Style" w:eastAsia="MS Gothic" w:hAnsi="Bookman Old Style" w:cs="Segoe UI Symbol"/>
          <w:color w:val="0D0D0D" w:themeColor="text1" w:themeTint="F2"/>
        </w:rPr>
        <w:t>( X</w:t>
      </w:r>
      <w:proofErr w:type="gramEnd"/>
      <w:r w:rsidRPr="00B258FA">
        <w:rPr>
          <w:rFonts w:ascii="Bookman Old Style" w:eastAsia="MS Gothic" w:hAnsi="Bookman Old Style" w:cs="Segoe UI Symbol"/>
          <w:color w:val="0D0D0D" w:themeColor="text1" w:themeTint="F2"/>
        </w:rPr>
        <w:t xml:space="preserve"> )</w:t>
      </w:r>
      <w:r w:rsidRPr="00B258FA">
        <w:rPr>
          <w:rFonts w:ascii="Bookman Old Style" w:eastAsia="MS Gothic" w:hAnsi="Bookman Old Style" w:cs="MS Gothic"/>
          <w:color w:val="0D0D0D" w:themeColor="text1" w:themeTint="F2"/>
        </w:rPr>
        <w:t xml:space="preserve"> </w:t>
      </w:r>
      <w:r w:rsidRPr="00B258FA">
        <w:rPr>
          <w:rFonts w:ascii="Bookman Old Style" w:eastAsia="Times New Roman" w:hAnsi="Bookman Old Style"/>
          <w:color w:val="0D0D0D" w:themeColor="text1" w:themeTint="F2"/>
        </w:rPr>
        <w:t>O plano básico de fiscalização como forma de implementação do gerenciamento de riscos encontra-se em desenvolvimento no município, no processo de transição de regimes. Até a publicação do normativo respectivo, os fiscais de contratos devem observar as regras atuais de fiscalização, como forma de inibir os principais riscos comuns a toda contratação.</w:t>
      </w:r>
    </w:p>
    <w:p w:rsidR="00332FBB" w:rsidRPr="00B258FA" w:rsidRDefault="00332FBB" w:rsidP="00332FBB">
      <w:pPr>
        <w:tabs>
          <w:tab w:val="left" w:pos="6313"/>
        </w:tabs>
        <w:spacing w:after="0" w:line="240" w:lineRule="auto"/>
        <w:jc w:val="both"/>
        <w:rPr>
          <w:rFonts w:ascii="Bookman Old Style" w:eastAsia="Times New Roman" w:hAnsi="Bookman Old Style"/>
          <w:color w:val="0D0D0D" w:themeColor="text1" w:themeTint="F2"/>
        </w:rPr>
      </w:pPr>
      <w:proofErr w:type="gramStart"/>
      <w:r w:rsidRPr="00B258FA">
        <w:rPr>
          <w:rFonts w:ascii="Bookman Old Style" w:eastAsia="MS Gothic" w:hAnsi="Bookman Old Style" w:cs="MS Gothic"/>
          <w:color w:val="0D0D0D" w:themeColor="text1" w:themeTint="F2"/>
        </w:rPr>
        <w:t>(  )</w:t>
      </w:r>
      <w:proofErr w:type="gramEnd"/>
      <w:r w:rsidRPr="00B258FA">
        <w:rPr>
          <w:rFonts w:ascii="Bookman Old Style" w:eastAsia="MS Gothic" w:hAnsi="Bookman Old Style" w:cs="MS Gothic"/>
          <w:color w:val="0D0D0D" w:themeColor="text1" w:themeTint="F2"/>
        </w:rPr>
        <w:t xml:space="preserve"> </w:t>
      </w:r>
      <w:r w:rsidRPr="00B258FA">
        <w:rPr>
          <w:rFonts w:ascii="Bookman Old Style" w:eastAsia="Times New Roman" w:hAnsi="Bookman Old Style"/>
          <w:color w:val="0D0D0D" w:themeColor="text1" w:themeTint="F2"/>
        </w:rPr>
        <w:t>A equipe de fiscalização designada deverá obrigatoriamente atender ao Plano Básico de Fiscalização, publicado no sítio eletrônico do município e anexo ao presente instrumento para fins de publicação.</w:t>
      </w:r>
    </w:p>
    <w:p w:rsidR="00332FBB" w:rsidRPr="00B258FA" w:rsidRDefault="00332FBB" w:rsidP="00332FBB">
      <w:pPr>
        <w:spacing w:after="0" w:line="240" w:lineRule="auto"/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</w:pPr>
    </w:p>
    <w:p w:rsidR="00332FBB" w:rsidRPr="00B258FA" w:rsidRDefault="00332FBB" w:rsidP="00332FBB">
      <w:pPr>
        <w:spacing w:after="0" w:line="240" w:lineRule="auto"/>
        <w:rPr>
          <w:rFonts w:ascii="Bookman Old Style" w:eastAsia="Cambria" w:hAnsi="Bookman Old Style" w:cstheme="minorHAnsi"/>
          <w:b/>
          <w:bCs/>
          <w:color w:val="0D0D0D" w:themeColor="text1" w:themeTint="F2"/>
        </w:rPr>
      </w:pPr>
      <w:r w:rsidRPr="00B258FA">
        <w:rPr>
          <w:rFonts w:ascii="Bookman Old Style" w:eastAsiaTheme="minorEastAsia" w:hAnsi="Bookman Old Style" w:cstheme="minorHAnsi"/>
          <w:b/>
          <w:bCs/>
          <w:color w:val="0D0D0D" w:themeColor="text1" w:themeTint="F2"/>
        </w:rPr>
        <w:t xml:space="preserve">10. DA DECLARAÇÃO DA VIABILIDADE OU NÃO DA CONTRATAÇÃO </w:t>
      </w:r>
    </w:p>
    <w:p w:rsidR="00332FBB" w:rsidRPr="00B258FA" w:rsidRDefault="00332FBB" w:rsidP="00332FBB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</w:rPr>
      </w:pPr>
      <w:r w:rsidRPr="00B258FA">
        <w:rPr>
          <w:rFonts w:ascii="Bookman Old Style" w:eastAsia="MS Gothic" w:hAnsi="Bookman Old Style" w:cs="Segoe UI Symbol"/>
        </w:rPr>
        <w:t xml:space="preserve">10.1. </w:t>
      </w:r>
      <w:r w:rsidRPr="00B258FA">
        <w:rPr>
          <w:rFonts w:ascii="Bookman Old Style" w:hAnsi="Bookman Old Style" w:cstheme="minorHAnsi"/>
        </w:rPr>
        <w:t xml:space="preserve">Devido à necessidade do objeto pretendido neste estudo e após análise das informações apresentadas pela unidade demandante, consideramos </w:t>
      </w:r>
      <w:r w:rsidRPr="00B258FA">
        <w:rPr>
          <w:rFonts w:ascii="Bookman Old Style" w:hAnsi="Bookman Old Style" w:cstheme="minorHAnsi"/>
          <w:b/>
          <w:bCs/>
          <w:u w:val="single"/>
        </w:rPr>
        <w:t>VIÁVEL</w:t>
      </w:r>
      <w:r w:rsidRPr="00B258FA">
        <w:rPr>
          <w:rFonts w:ascii="Bookman Old Style" w:hAnsi="Bookman Old Style" w:cstheme="minorHAnsi"/>
        </w:rPr>
        <w:t xml:space="preserve"> a contratação, </w:t>
      </w:r>
      <w:r w:rsidRPr="00B258FA">
        <w:rPr>
          <w:rFonts w:ascii="Bookman Old Style" w:hAnsi="Bookman Old Style" w:cstheme="minorHAnsi"/>
          <w:b/>
          <w:bCs/>
        </w:rPr>
        <w:t>seguindo as orientações técnicas contidas neste estudo</w:t>
      </w:r>
      <w:r w:rsidRPr="00B258FA">
        <w:rPr>
          <w:rFonts w:ascii="Bookman Old Style" w:hAnsi="Bookman Old Style" w:cstheme="minorHAnsi"/>
        </w:rPr>
        <w:t>.</w:t>
      </w:r>
    </w:p>
    <w:p w:rsidR="00332FBB" w:rsidRPr="00B258FA" w:rsidRDefault="00332FBB" w:rsidP="00332FBB">
      <w:pPr>
        <w:tabs>
          <w:tab w:val="left" w:pos="6313"/>
          <w:tab w:val="left" w:pos="7049"/>
        </w:tabs>
        <w:spacing w:after="0" w:line="240" w:lineRule="auto"/>
        <w:rPr>
          <w:rFonts w:ascii="Bookman Old Style" w:hAnsi="Bookman Old Style" w:cstheme="min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32FBB" w:rsidRPr="00B258FA" w:rsidTr="00D93FF4">
        <w:tc>
          <w:tcPr>
            <w:tcW w:w="9072" w:type="dxa"/>
            <w:shd w:val="clear" w:color="auto" w:fill="auto"/>
          </w:tcPr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="Calibri"/>
                <w:b/>
                <w:bCs/>
              </w:rPr>
            </w:pPr>
            <w:r w:rsidRPr="00B258FA">
              <w:rPr>
                <w:rFonts w:ascii="Bookman Old Style" w:hAnsi="Bookman Old Style" w:cs="Calibri"/>
                <w:b/>
                <w:bCs/>
              </w:rPr>
              <w:t>11. DA EQUIPE TÉCNICA</w:t>
            </w: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="Calibri"/>
              </w:rPr>
            </w:pPr>
            <w:r w:rsidRPr="00B258FA">
              <w:rPr>
                <w:rFonts w:ascii="Bookman Old Style" w:hAnsi="Bookman Old Style" w:cs="Calibri"/>
              </w:rPr>
              <w:t>O Estudo Técnico foi elaborado pela seguinte equipe de planejamento da contratação:</w:t>
            </w: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rPr>
                <w:rFonts w:ascii="Bookman Old Style" w:eastAsia="Calibri" w:hAnsi="Bookman Old Style" w:cs="Calibri"/>
                <w:bCs/>
                <w:color w:val="0D0D0D"/>
              </w:rPr>
            </w:pP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="Calibri"/>
                <w:bCs/>
                <w:color w:val="0D0D0D"/>
              </w:rPr>
            </w:pPr>
            <w:r w:rsidRPr="00B258FA">
              <w:rPr>
                <w:rFonts w:ascii="Bookman Old Style" w:eastAsia="Calibri" w:hAnsi="Bookman Old Style" w:cs="Calibri"/>
                <w:bCs/>
                <w:color w:val="0D0D0D"/>
              </w:rPr>
              <w:t>Eugenópolis, 05 de março de 2024.</w:t>
            </w: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="Calibri"/>
                <w:bCs/>
                <w:color w:val="0D0D0D"/>
              </w:rPr>
            </w:pP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="Calibri"/>
                <w:bCs/>
                <w:color w:val="0D0D0D"/>
              </w:rPr>
            </w:pPr>
          </w:p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B258FA">
              <w:rPr>
                <w:rFonts w:ascii="Bookman Old Style" w:hAnsi="Bookman Old Style" w:cs="Calibri"/>
              </w:rPr>
              <w:t>______________________________</w:t>
            </w:r>
          </w:p>
          <w:p w:rsidR="00332FBB" w:rsidRPr="00D17D75" w:rsidRDefault="00332FBB" w:rsidP="00D93FF4">
            <w:pPr>
              <w:spacing w:after="0" w:line="240" w:lineRule="auto"/>
              <w:jc w:val="center"/>
              <w:rPr>
                <w:rFonts w:ascii="Bookman Old Style" w:eastAsia="Calibri" w:hAnsi="Bookman Old Style" w:cs="Calibri"/>
                <w:b/>
              </w:rPr>
            </w:pPr>
            <w:r w:rsidRPr="00D17D75">
              <w:rPr>
                <w:rFonts w:ascii="Bookman Old Style" w:eastAsia="Calibri" w:hAnsi="Bookman Old Style" w:cs="Calibri"/>
                <w:b/>
              </w:rPr>
              <w:t>Lucas Gouvêa Carneiro</w:t>
            </w:r>
          </w:p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Calibri" w:hAnsi="Bookman Old Style" w:cs="Calibri"/>
              </w:rPr>
            </w:pPr>
            <w:r w:rsidRPr="00B258FA">
              <w:rPr>
                <w:rFonts w:ascii="Bookman Old Style" w:eastAsia="Calibri" w:hAnsi="Bookman Old Style" w:cs="Calibri"/>
              </w:rPr>
              <w:t>Chefe de Seção</w:t>
            </w:r>
          </w:p>
        </w:tc>
      </w:tr>
    </w:tbl>
    <w:p w:rsidR="00332FBB" w:rsidRDefault="00332FBB" w:rsidP="00332FBB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32FBB" w:rsidRPr="00B258FA" w:rsidTr="00D93FF4">
        <w:tc>
          <w:tcPr>
            <w:tcW w:w="9072" w:type="dxa"/>
            <w:shd w:val="clear" w:color="auto" w:fill="auto"/>
          </w:tcPr>
          <w:p w:rsidR="00332FBB" w:rsidRPr="00B258FA" w:rsidRDefault="00332FBB" w:rsidP="00D93FF4">
            <w:pPr>
              <w:pStyle w:val="PargrafodaLista"/>
              <w:spacing w:after="0" w:line="240" w:lineRule="auto"/>
              <w:ind w:left="0"/>
              <w:rPr>
                <w:rFonts w:ascii="Bookman Old Style" w:hAnsi="Bookman Old Style" w:cs="Calibri"/>
                <w:b/>
                <w:bCs/>
                <w:color w:val="0D0D0D"/>
              </w:rPr>
            </w:pPr>
            <w:r w:rsidRPr="00B258FA">
              <w:rPr>
                <w:rFonts w:ascii="Bookman Old Style" w:hAnsi="Bookman Old Style" w:cs="Calibri"/>
                <w:b/>
                <w:bCs/>
              </w:rPr>
              <w:lastRenderedPageBreak/>
              <w:t xml:space="preserve">12. </w:t>
            </w:r>
            <w:r w:rsidRPr="00B258FA">
              <w:rPr>
                <w:rFonts w:ascii="Bookman Old Style" w:hAnsi="Bookman Old Style" w:cs="Calibri"/>
                <w:b/>
                <w:bCs/>
                <w:color w:val="0D0D0D"/>
              </w:rPr>
              <w:t>DA CIÊNCIA DA AUTORIDADE COMPETENTE</w:t>
            </w: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="Calibri"/>
              </w:rPr>
            </w:pPr>
            <w:r w:rsidRPr="00B258FA">
              <w:rPr>
                <w:rFonts w:ascii="Bookman Old Style" w:hAnsi="Bookman Old Style" w:cs="Calibri"/>
              </w:rPr>
              <w:t xml:space="preserve">Recebido o presente estudo, verifico que ele está de acordo com as necessidades técnicas, operacionais e estratégicas do órgão, no mais, atende as demandas formuladas da melhor maneira, pelo que </w:t>
            </w:r>
            <w:r w:rsidRPr="00B258FA">
              <w:rPr>
                <w:rFonts w:ascii="Bookman Old Style" w:hAnsi="Bookman Old Style" w:cs="Calibri"/>
                <w:b/>
                <w:bCs/>
                <w:u w:val="single"/>
              </w:rPr>
              <w:t>autorizo</w:t>
            </w:r>
            <w:r w:rsidRPr="00B258FA">
              <w:rPr>
                <w:rFonts w:ascii="Bookman Old Style" w:hAnsi="Bookman Old Style" w:cs="Calibri"/>
                <w:b/>
                <w:bCs/>
              </w:rPr>
              <w:t xml:space="preserve"> a contratação nos termos concluídos pela equipe técnica de planejamento</w:t>
            </w:r>
            <w:r w:rsidRPr="00B258FA">
              <w:rPr>
                <w:rFonts w:ascii="Bookman Old Style" w:hAnsi="Bookman Old Style" w:cs="Calibri"/>
              </w:rPr>
              <w:t>.</w:t>
            </w: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="Calibri"/>
              </w:rPr>
            </w:pP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hAnsi="Bookman Old Style" w:cs="Calibri"/>
                <w:b/>
              </w:rPr>
            </w:pPr>
            <w:r w:rsidRPr="00B258FA">
              <w:rPr>
                <w:rFonts w:ascii="Bookman Old Style" w:hAnsi="Bookman Old Style" w:cs="Calibri"/>
                <w:b/>
              </w:rPr>
              <w:t>Arquive-se.</w:t>
            </w: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="Calibri"/>
                <w:bCs/>
                <w:color w:val="0D0D0D"/>
              </w:rPr>
            </w:pPr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both"/>
              <w:rPr>
                <w:rFonts w:ascii="Bookman Old Style" w:eastAsia="Calibri" w:hAnsi="Bookman Old Style" w:cs="Calibri"/>
                <w:bCs/>
                <w:color w:val="0D0D0D"/>
              </w:rPr>
            </w:pPr>
            <w:r w:rsidRPr="00B258FA">
              <w:rPr>
                <w:rFonts w:ascii="Bookman Old Style" w:eastAsia="Calibri" w:hAnsi="Bookman Old Style" w:cs="Calibri"/>
                <w:bCs/>
                <w:color w:val="0D0D0D"/>
              </w:rPr>
              <w:t>Eugenópolis, 05 de março de 2024.</w:t>
            </w:r>
            <w:bookmarkStart w:id="0" w:name="_GoBack"/>
            <w:bookmarkEnd w:id="0"/>
          </w:p>
          <w:p w:rsidR="00332FBB" w:rsidRPr="00B258FA" w:rsidRDefault="00332FBB" w:rsidP="00D93FF4">
            <w:pPr>
              <w:tabs>
                <w:tab w:val="left" w:pos="6313"/>
                <w:tab w:val="left" w:pos="7049"/>
              </w:tabs>
              <w:spacing w:after="0" w:line="240" w:lineRule="auto"/>
              <w:jc w:val="right"/>
              <w:rPr>
                <w:rFonts w:ascii="Bookman Old Style" w:eastAsia="Calibri" w:hAnsi="Bookman Old Style" w:cs="Calibri"/>
                <w:bCs/>
                <w:color w:val="0D0D0D"/>
              </w:rPr>
            </w:pPr>
          </w:p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B258FA">
              <w:rPr>
                <w:rFonts w:ascii="Bookman Old Style" w:hAnsi="Bookman Old Style" w:cs="Calibri"/>
              </w:rPr>
              <w:t>_______________________________________</w:t>
            </w:r>
          </w:p>
          <w:p w:rsidR="00332FBB" w:rsidRPr="00D17D75" w:rsidRDefault="00332FBB" w:rsidP="00D93FF4">
            <w:pPr>
              <w:tabs>
                <w:tab w:val="left" w:pos="6313"/>
                <w:tab w:val="left" w:pos="7371"/>
              </w:tabs>
              <w:spacing w:after="0" w:line="240" w:lineRule="auto"/>
              <w:jc w:val="center"/>
              <w:rPr>
                <w:rFonts w:ascii="Bookman Old Style" w:eastAsia="Calibri" w:hAnsi="Bookman Old Style" w:cstheme="minorHAnsi"/>
                <w:b/>
              </w:rPr>
            </w:pPr>
            <w:r w:rsidRPr="00D17D75">
              <w:rPr>
                <w:rFonts w:ascii="Bookman Old Style" w:eastAsia="Calibri" w:hAnsi="Bookman Old Style" w:cstheme="minorHAnsi"/>
                <w:b/>
              </w:rPr>
              <w:t>Adelson Paulo de Souza</w:t>
            </w:r>
          </w:p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eastAsia="Calibri" w:hAnsi="Bookman Old Style" w:cs="Calibri"/>
              </w:rPr>
            </w:pPr>
            <w:r w:rsidRPr="00B258FA">
              <w:rPr>
                <w:rFonts w:ascii="Bookman Old Style" w:eastAsia="Calibri" w:hAnsi="Bookman Old Style" w:cstheme="minorHAnsi"/>
              </w:rPr>
              <w:t>Secretaria Municipal de Obras, Atividades Urbanas e Estradas</w:t>
            </w:r>
          </w:p>
          <w:p w:rsidR="00332FBB" w:rsidRPr="00B258FA" w:rsidRDefault="00332FBB" w:rsidP="00D93FF4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332FBB" w:rsidRPr="00B258FA" w:rsidRDefault="00332FBB" w:rsidP="00332FBB">
      <w:pPr>
        <w:tabs>
          <w:tab w:val="left" w:pos="6313"/>
          <w:tab w:val="left" w:pos="7049"/>
        </w:tabs>
        <w:spacing w:after="0" w:line="240" w:lineRule="auto"/>
        <w:jc w:val="both"/>
        <w:rPr>
          <w:rFonts w:ascii="Bookman Old Style" w:hAnsi="Bookman Old Style" w:cstheme="minorHAnsi"/>
        </w:rPr>
      </w:pPr>
    </w:p>
    <w:p w:rsidR="00332FBB" w:rsidRPr="00B258FA" w:rsidRDefault="00332FBB" w:rsidP="00332FBB">
      <w:pPr>
        <w:spacing w:after="0" w:line="240" w:lineRule="auto"/>
        <w:rPr>
          <w:rFonts w:ascii="Bookman Old Style" w:hAnsi="Bookman Old Style"/>
        </w:rPr>
      </w:pPr>
    </w:p>
    <w:p w:rsidR="00103CBA" w:rsidRPr="00382698" w:rsidRDefault="00103CBA" w:rsidP="00382698"/>
    <w:sectPr w:rsidR="00103CBA" w:rsidRPr="00382698" w:rsidSect="00C749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991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92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5" name="Imagem 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2FBB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2698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4926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D434FD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Tabelacomgrade2">
    <w:name w:val="Tabela com grade2"/>
    <w:basedOn w:val="Tabelanormal"/>
    <w:next w:val="Tabelacomgrade"/>
    <w:uiPriority w:val="39"/>
    <w:rsid w:val="00332FBB"/>
    <w:pPr>
      <w:spacing w:after="120" w:line="264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0174D-40E3-432D-8D5E-113F36B7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2346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62</cp:revision>
  <cp:lastPrinted>2024-03-21T16:55:00Z</cp:lastPrinted>
  <dcterms:created xsi:type="dcterms:W3CDTF">2024-03-21T15:42:00Z</dcterms:created>
  <dcterms:modified xsi:type="dcterms:W3CDTF">2024-03-25T17:00:00Z</dcterms:modified>
</cp:coreProperties>
</file>